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C4B" w14:textId="3B10E2B8" w:rsidR="009F17E1" w:rsidRDefault="009F1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B7E64" wp14:editId="0E415F6F">
            <wp:simplePos x="0" y="0"/>
            <wp:positionH relativeFrom="column">
              <wp:posOffset>6581356</wp:posOffset>
            </wp:positionH>
            <wp:positionV relativeFrom="paragraph">
              <wp:posOffset>-141282</wp:posOffset>
            </wp:positionV>
            <wp:extent cx="3324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15233" r="7074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BBC54" w14:textId="129C4C00" w:rsidR="009F17E1" w:rsidRDefault="009F17E1"/>
    <w:p w14:paraId="1F5235ED" w14:textId="77777777" w:rsidR="009F17E1" w:rsidRDefault="009F17E1"/>
    <w:p w14:paraId="262981D4" w14:textId="01D42FD0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7323384E" w14:textId="07729021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4C6F057F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7D1FDED" w14:textId="11D68F0A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6F3A3ADC" w14:textId="77777777" w:rsidR="009F17E1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</w:rPr>
      </w:pPr>
    </w:p>
    <w:p w14:paraId="59D48FFF" w14:textId="108852CA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 w:rsidRPr="009F17E1">
        <w:rPr>
          <w:rFonts w:eastAsia="Calibri" w:cs="Arial"/>
          <w:b/>
          <w:sz w:val="40"/>
          <w:szCs w:val="40"/>
        </w:rPr>
        <w:t xml:space="preserve"> </w:t>
      </w:r>
      <w:r w:rsidR="00691A51" w:rsidRPr="007D5346">
        <w:rPr>
          <w:rFonts w:eastAsia="Calibri" w:cs="Arial"/>
          <w:b/>
          <w:sz w:val="40"/>
          <w:szCs w:val="40"/>
          <w:lang w:eastAsia="en-US"/>
        </w:rPr>
        <w:t>SEXUAL ORIENTATION</w:t>
      </w:r>
      <w:r w:rsidR="00691A51" w:rsidRPr="00157EE0">
        <w:rPr>
          <w:rFonts w:eastAsia="Calibri" w:cs="Arial"/>
          <w:b/>
          <w:sz w:val="40"/>
          <w:szCs w:val="40"/>
          <w:lang w:eastAsia="en-US"/>
        </w:rPr>
        <w:t xml:space="preserve"> </w:t>
      </w:r>
      <w:r w:rsidRPr="0063480A">
        <w:rPr>
          <w:rFonts w:eastAsia="Calibri" w:cs="Arial"/>
          <w:b/>
          <w:sz w:val="40"/>
          <w:szCs w:val="40"/>
          <w:lang w:eastAsia="en-US"/>
        </w:rPr>
        <w:t>WORKFORCE EQUALITY STANDARD</w:t>
      </w:r>
    </w:p>
    <w:p w14:paraId="4AA51F33" w14:textId="6CBCB113" w:rsidR="009F17E1" w:rsidRPr="0063480A" w:rsidRDefault="009F17E1" w:rsidP="009F17E1">
      <w:pPr>
        <w:spacing w:after="200" w:line="276" w:lineRule="auto"/>
        <w:jc w:val="center"/>
        <w:rPr>
          <w:rFonts w:eastAsia="Calibri" w:cs="Arial"/>
          <w:b/>
          <w:sz w:val="40"/>
          <w:szCs w:val="40"/>
          <w:lang w:eastAsia="en-US"/>
        </w:rPr>
      </w:pPr>
      <w:r>
        <w:rPr>
          <w:rFonts w:eastAsia="Calibri" w:cs="Arial"/>
          <w:b/>
          <w:sz w:val="40"/>
          <w:szCs w:val="40"/>
          <w:lang w:eastAsia="en-US"/>
        </w:rPr>
        <w:t>202</w:t>
      </w:r>
      <w:r w:rsidR="00F365C1">
        <w:rPr>
          <w:rFonts w:eastAsia="Calibri" w:cs="Arial"/>
          <w:b/>
          <w:sz w:val="40"/>
          <w:szCs w:val="40"/>
          <w:lang w:eastAsia="en-US"/>
        </w:rPr>
        <w:t>2</w:t>
      </w:r>
      <w:r>
        <w:rPr>
          <w:rFonts w:eastAsia="Calibri" w:cs="Arial"/>
          <w:b/>
          <w:sz w:val="40"/>
          <w:szCs w:val="40"/>
          <w:lang w:eastAsia="en-US"/>
        </w:rPr>
        <w:t>/202</w:t>
      </w:r>
      <w:r w:rsidR="00F365C1">
        <w:rPr>
          <w:rFonts w:eastAsia="Calibri" w:cs="Arial"/>
          <w:b/>
          <w:sz w:val="40"/>
          <w:szCs w:val="40"/>
          <w:lang w:eastAsia="en-US"/>
        </w:rPr>
        <w:t>3</w:t>
      </w:r>
    </w:p>
    <w:p w14:paraId="530C3984" w14:textId="5FF222A8" w:rsidR="00850309" w:rsidRDefault="00850309"/>
    <w:p w14:paraId="67288236" w14:textId="18184323" w:rsidR="009F17E1" w:rsidRDefault="009F17E1"/>
    <w:p w14:paraId="75D4504E" w14:textId="553894C4" w:rsidR="009F17E1" w:rsidRDefault="009F17E1"/>
    <w:p w14:paraId="76AFFC84" w14:textId="77777777" w:rsidR="009F17E1" w:rsidRDefault="009F17E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95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3814"/>
        <w:gridCol w:w="763"/>
      </w:tblGrid>
      <w:tr w:rsidR="00A41303" w:rsidRPr="00525DF9" w14:paraId="66F0E6FA" w14:textId="77777777" w:rsidTr="00A41303">
        <w:tc>
          <w:tcPr>
            <w:tcW w:w="936" w:type="dxa"/>
            <w:vMerge w:val="restart"/>
            <w:shd w:val="clear" w:color="auto" w:fill="F2F2F2"/>
          </w:tcPr>
          <w:p w14:paraId="2D16402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br w:type="page"/>
            </w:r>
          </w:p>
          <w:p w14:paraId="49A7649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35CBDC70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1.   Background narrative</w:t>
            </w:r>
          </w:p>
          <w:p w14:paraId="3BA95705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Any issues of completeness of data</w:t>
            </w:r>
          </w:p>
        </w:tc>
        <w:tc>
          <w:tcPr>
            <w:tcW w:w="763" w:type="dxa"/>
            <w:vMerge w:val="restart"/>
            <w:shd w:val="clear" w:color="auto" w:fill="F2F2F2"/>
          </w:tcPr>
          <w:p w14:paraId="6A7C2F0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39254C6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1C6EB35" w14:textId="77777777" w:rsidTr="00A41303">
        <w:trPr>
          <w:trHeight w:val="330"/>
        </w:trPr>
        <w:tc>
          <w:tcPr>
            <w:tcW w:w="936" w:type="dxa"/>
            <w:vMerge/>
            <w:shd w:val="clear" w:color="auto" w:fill="F2F2F2"/>
          </w:tcPr>
          <w:p w14:paraId="42DA03A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40CBCB2E" w14:textId="1D6DE972" w:rsidR="00A41303" w:rsidRPr="00525DF9" w:rsidRDefault="00691A51" w:rsidP="00691A51">
            <w:pPr>
              <w:tabs>
                <w:tab w:val="left" w:pos="38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sz w:val="22"/>
                <w:szCs w:val="22"/>
                <w:lang w:eastAsia="en-US"/>
              </w:rPr>
              <w:t>The Pulse survey does not include a question about CPD and non-mandatory training as the staff FFT did therefore information from the staff survey has been used for indicator 4.</w:t>
            </w:r>
          </w:p>
        </w:tc>
        <w:tc>
          <w:tcPr>
            <w:tcW w:w="763" w:type="dxa"/>
            <w:vMerge/>
            <w:shd w:val="clear" w:color="auto" w:fill="F2F2F2"/>
          </w:tcPr>
          <w:p w14:paraId="653E7A8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FF2D4D7" w14:textId="77777777" w:rsidTr="00A41303">
        <w:trPr>
          <w:trHeight w:val="331"/>
        </w:trPr>
        <w:tc>
          <w:tcPr>
            <w:tcW w:w="936" w:type="dxa"/>
            <w:vMerge/>
            <w:shd w:val="clear" w:color="auto" w:fill="F2F2F2"/>
          </w:tcPr>
          <w:p w14:paraId="28C8ADF5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13DAE30E" w14:textId="7DACA0A2" w:rsidR="00A41303" w:rsidRPr="00525DF9" w:rsidRDefault="00A41303" w:rsidP="009F17E1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Any matters relating to reliability of comparisons with previous years</w:t>
            </w:r>
          </w:p>
        </w:tc>
        <w:tc>
          <w:tcPr>
            <w:tcW w:w="763" w:type="dxa"/>
            <w:vMerge/>
            <w:shd w:val="clear" w:color="auto" w:fill="F2F2F2"/>
          </w:tcPr>
          <w:p w14:paraId="4F45484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B23B86C" w14:textId="77777777" w:rsidTr="00A41303">
        <w:trPr>
          <w:trHeight w:val="420"/>
        </w:trPr>
        <w:tc>
          <w:tcPr>
            <w:tcW w:w="936" w:type="dxa"/>
            <w:vMerge/>
            <w:shd w:val="clear" w:color="auto" w:fill="F2F2F2"/>
          </w:tcPr>
          <w:p w14:paraId="11DBF80D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3EC7CA3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3" w:type="dxa"/>
            <w:vMerge/>
            <w:shd w:val="clear" w:color="auto" w:fill="F2F2F2"/>
          </w:tcPr>
          <w:p w14:paraId="11A4678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78EF0A26" w14:textId="77777777" w:rsidTr="00A41303">
        <w:tc>
          <w:tcPr>
            <w:tcW w:w="936" w:type="dxa"/>
            <w:vMerge/>
            <w:shd w:val="clear" w:color="auto" w:fill="F2F2F2"/>
          </w:tcPr>
          <w:p w14:paraId="5466EB0A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0B53B661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2.  Total numbers of staff</w:t>
            </w:r>
          </w:p>
          <w:p w14:paraId="795523F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Employed within this organisation at the date of the report</w:t>
            </w:r>
          </w:p>
        </w:tc>
        <w:tc>
          <w:tcPr>
            <w:tcW w:w="763" w:type="dxa"/>
            <w:vMerge/>
            <w:shd w:val="clear" w:color="auto" w:fill="F2F2F2"/>
          </w:tcPr>
          <w:p w14:paraId="5250984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3F0882DA" w14:textId="77777777" w:rsidTr="00A41303">
        <w:trPr>
          <w:trHeight w:val="477"/>
        </w:trPr>
        <w:tc>
          <w:tcPr>
            <w:tcW w:w="936" w:type="dxa"/>
            <w:vMerge/>
            <w:shd w:val="clear" w:color="auto" w:fill="F2F2F2"/>
          </w:tcPr>
          <w:p w14:paraId="056547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058A7C3B" w14:textId="3FA2DE90" w:rsidR="00A41303" w:rsidRPr="00525DF9" w:rsidRDefault="00A41303" w:rsidP="009F17E1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="000872FF">
              <w:rPr>
                <w:rFonts w:eastAsia="Calibri" w:cs="Arial"/>
                <w:sz w:val="22"/>
                <w:szCs w:val="22"/>
                <w:lang w:eastAsia="en-US"/>
              </w:rPr>
              <w:t>927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(data from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0872FF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3" w:type="dxa"/>
            <w:vMerge/>
            <w:shd w:val="clear" w:color="auto" w:fill="F2F2F2"/>
          </w:tcPr>
          <w:p w14:paraId="2CCC91F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E1E9659" w14:textId="77777777" w:rsidTr="00A41303">
        <w:tc>
          <w:tcPr>
            <w:tcW w:w="936" w:type="dxa"/>
            <w:vMerge/>
            <w:shd w:val="clear" w:color="auto" w:fill="F2F2F2"/>
          </w:tcPr>
          <w:p w14:paraId="4490C20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007088C6" w14:textId="0C3563D5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b.  Proportion of </w:t>
            </w:r>
            <w:r w:rsidR="006A60E1">
              <w:rPr>
                <w:rFonts w:eastAsia="Calibri" w:cs="Arial"/>
                <w:sz w:val="22"/>
                <w:szCs w:val="22"/>
                <w:lang w:eastAsia="en-US"/>
              </w:rPr>
              <w:t xml:space="preserve">LGB 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staff employed within this organisation at the date of the report</w:t>
            </w:r>
          </w:p>
          <w:p w14:paraId="783BBB90" w14:textId="77777777" w:rsidR="00A41303" w:rsidRPr="00525DF9" w:rsidRDefault="00A41303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269786E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7AA8F7F8" w14:textId="77777777" w:rsidTr="00A41303">
        <w:trPr>
          <w:trHeight w:val="435"/>
        </w:trPr>
        <w:tc>
          <w:tcPr>
            <w:tcW w:w="936" w:type="dxa"/>
            <w:vMerge/>
            <w:shd w:val="clear" w:color="auto" w:fill="F2F2F2"/>
          </w:tcPr>
          <w:p w14:paraId="167A8CA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7673B976" w14:textId="1C0FC166" w:rsidR="00A41303" w:rsidRPr="00525DF9" w:rsidRDefault="00691A51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="00A41303" w:rsidRPr="00525DF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63" w:type="dxa"/>
            <w:vMerge/>
            <w:shd w:val="clear" w:color="auto" w:fill="F2F2F2"/>
          </w:tcPr>
          <w:p w14:paraId="509EE44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AABF4CD" w14:textId="77777777" w:rsidTr="00A41303">
        <w:tc>
          <w:tcPr>
            <w:tcW w:w="936" w:type="dxa"/>
            <w:vMerge w:val="restart"/>
            <w:shd w:val="clear" w:color="auto" w:fill="F2F2F2"/>
          </w:tcPr>
          <w:p w14:paraId="3F3DE66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44BD847E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3.  Self-reporting</w:t>
            </w:r>
          </w:p>
          <w:p w14:paraId="3590A5A6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92F9CE9" w14:textId="0F94206A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a. The proportion of total staff who have self-reported their </w:t>
            </w:r>
            <w:r w:rsidR="007503DB">
              <w:rPr>
                <w:rFonts w:eastAsia="Calibri" w:cs="Arial"/>
                <w:sz w:val="22"/>
                <w:szCs w:val="22"/>
                <w:lang w:eastAsia="en-US"/>
              </w:rPr>
              <w:t>sexual orientation</w:t>
            </w:r>
          </w:p>
        </w:tc>
        <w:tc>
          <w:tcPr>
            <w:tcW w:w="763" w:type="dxa"/>
            <w:vMerge w:val="restart"/>
            <w:shd w:val="clear" w:color="auto" w:fill="F2F2F2"/>
          </w:tcPr>
          <w:p w14:paraId="02A354B0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EF4A6B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46395763" w14:textId="77777777" w:rsidTr="00A41303">
        <w:trPr>
          <w:trHeight w:val="227"/>
        </w:trPr>
        <w:tc>
          <w:tcPr>
            <w:tcW w:w="936" w:type="dxa"/>
            <w:vMerge/>
            <w:shd w:val="clear" w:color="auto" w:fill="F2F2F2"/>
          </w:tcPr>
          <w:p w14:paraId="51DB29CC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5FDF6255" w14:textId="041C5C0E" w:rsidR="00A41303" w:rsidRDefault="00691A51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90</w:t>
            </w:r>
            <w:r w:rsidR="00A41303" w:rsidRPr="00525DF9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  <w:p w14:paraId="17CC2DF3" w14:textId="77777777" w:rsidR="00A41303" w:rsidRPr="00525DF9" w:rsidRDefault="00A41303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0F0B794E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4B77D637" w14:textId="77777777" w:rsidTr="00A41303">
        <w:tc>
          <w:tcPr>
            <w:tcW w:w="936" w:type="dxa"/>
            <w:vMerge/>
            <w:shd w:val="clear" w:color="auto" w:fill="F2F2F2"/>
          </w:tcPr>
          <w:p w14:paraId="20DA57B2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7362FC43" w14:textId="4569615E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b. Have any steps been taken in the last reporting period to improve the level of self-reportin</w:t>
            </w:r>
            <w:r w:rsidR="007503DB">
              <w:rPr>
                <w:rFonts w:eastAsia="Calibri" w:cs="Arial"/>
                <w:sz w:val="22"/>
                <w:szCs w:val="22"/>
                <w:lang w:eastAsia="en-US"/>
              </w:rPr>
              <w:t>g</w:t>
            </w:r>
          </w:p>
          <w:p w14:paraId="377483D0" w14:textId="77777777" w:rsidR="00A41303" w:rsidRPr="00525DF9" w:rsidRDefault="00A41303" w:rsidP="00B9490B">
            <w:pPr>
              <w:tabs>
                <w:tab w:val="left" w:pos="129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0BF1849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0E0482F" w14:textId="77777777" w:rsidTr="00A41303">
        <w:trPr>
          <w:trHeight w:val="466"/>
        </w:trPr>
        <w:tc>
          <w:tcPr>
            <w:tcW w:w="936" w:type="dxa"/>
            <w:vMerge/>
            <w:shd w:val="clear" w:color="auto" w:fill="F2F2F2"/>
          </w:tcPr>
          <w:p w14:paraId="4F61DB8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782F2121" w14:textId="087FCE20" w:rsidR="00A41303" w:rsidRPr="00525DF9" w:rsidRDefault="00691A51" w:rsidP="00B9490B">
            <w:pPr>
              <w:tabs>
                <w:tab w:val="left" w:pos="2475"/>
                <w:tab w:val="right" w:pos="13534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Yes </w:t>
            </w:r>
          </w:p>
        </w:tc>
        <w:tc>
          <w:tcPr>
            <w:tcW w:w="763" w:type="dxa"/>
            <w:vMerge/>
            <w:shd w:val="clear" w:color="auto" w:fill="F2F2F2"/>
          </w:tcPr>
          <w:p w14:paraId="4316E872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EF7E90A" w14:textId="77777777" w:rsidTr="00A41303">
        <w:tc>
          <w:tcPr>
            <w:tcW w:w="936" w:type="dxa"/>
            <w:vMerge/>
            <w:shd w:val="clear" w:color="auto" w:fill="F2F2F2"/>
          </w:tcPr>
          <w:p w14:paraId="173E2D0F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47536733" w14:textId="4FFF0040" w:rsidR="00A41303" w:rsidRPr="00525DF9" w:rsidRDefault="00A41303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c. Are any steps planned during the current reporting period to improve the level of self-reporting </w:t>
            </w:r>
          </w:p>
          <w:p w14:paraId="65AAE5B1" w14:textId="77777777" w:rsidR="00A41303" w:rsidRPr="00525DF9" w:rsidRDefault="00A41303" w:rsidP="00B9490B">
            <w:pPr>
              <w:tabs>
                <w:tab w:val="left" w:pos="2475"/>
                <w:tab w:val="left" w:pos="720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/>
            <w:shd w:val="clear" w:color="auto" w:fill="F2F2F2"/>
          </w:tcPr>
          <w:p w14:paraId="683AB328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0E032A9A" w14:textId="77777777" w:rsidTr="00A41303">
        <w:tc>
          <w:tcPr>
            <w:tcW w:w="936" w:type="dxa"/>
            <w:vMerge/>
            <w:shd w:val="clear" w:color="auto" w:fill="F2F2F2"/>
          </w:tcPr>
          <w:p w14:paraId="77B3E07F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4AB86D5C" w14:textId="631836BC" w:rsidR="00A41303" w:rsidRPr="00525DF9" w:rsidRDefault="00A41303" w:rsidP="00B9490B">
            <w:pPr>
              <w:tabs>
                <w:tab w:val="left" w:pos="2475"/>
                <w:tab w:val="left" w:pos="551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Yes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20483AC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38059334" w14:textId="77777777" w:rsidTr="00A41303">
        <w:tc>
          <w:tcPr>
            <w:tcW w:w="936" w:type="dxa"/>
            <w:vMerge/>
            <w:shd w:val="clear" w:color="auto" w:fill="F2F2F2"/>
          </w:tcPr>
          <w:p w14:paraId="2A860EA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2F2F2"/>
          </w:tcPr>
          <w:p w14:paraId="73ED7CDA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4.  Workforce data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  <w:p w14:paraId="78DBA304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D09B8FB" w14:textId="77777777" w:rsidR="00A41303" w:rsidRPr="00525DF9" w:rsidRDefault="00A41303" w:rsidP="00B9490B">
            <w:pPr>
              <w:tabs>
                <w:tab w:val="left" w:pos="2475"/>
                <w:tab w:val="left" w:pos="3030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a.   What period does the organisation’s workforce data refer to</w:t>
            </w:r>
          </w:p>
        </w:tc>
        <w:tc>
          <w:tcPr>
            <w:tcW w:w="763" w:type="dxa"/>
            <w:vMerge/>
            <w:shd w:val="clear" w:color="auto" w:fill="F2F2F2"/>
          </w:tcPr>
          <w:p w14:paraId="190A37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1D61FAC1" w14:textId="77777777" w:rsidTr="00A41303">
        <w:trPr>
          <w:trHeight w:val="342"/>
        </w:trPr>
        <w:tc>
          <w:tcPr>
            <w:tcW w:w="936" w:type="dxa"/>
            <w:vMerge/>
            <w:shd w:val="clear" w:color="auto" w:fill="F2F2F2"/>
          </w:tcPr>
          <w:p w14:paraId="48ECF8B3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FFFFFF"/>
          </w:tcPr>
          <w:p w14:paraId="460DB774" w14:textId="68C33871" w:rsidR="00A41303" w:rsidRPr="00525DF9" w:rsidRDefault="00A41303" w:rsidP="00B9490B">
            <w:pPr>
              <w:tabs>
                <w:tab w:val="left" w:pos="10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Data as of 31</w:t>
            </w:r>
            <w:r w:rsidRPr="00525DF9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st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 xml:space="preserve"> March 202</w:t>
            </w:r>
            <w:r w:rsidR="000872FF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1743C179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6508363A" w14:textId="77777777" w:rsidTr="00A41303">
        <w:tc>
          <w:tcPr>
            <w:tcW w:w="936" w:type="dxa"/>
            <w:vMerge w:val="restart"/>
            <w:shd w:val="clear" w:color="auto" w:fill="F2F2F2"/>
          </w:tcPr>
          <w:p w14:paraId="52DD6FA4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3814" w:type="dxa"/>
            <w:shd w:val="clear" w:color="auto" w:fill="F2F2F2"/>
          </w:tcPr>
          <w:p w14:paraId="1410C2E5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>5.    Are there any other factors or data which should be taken into consideration in assessing progress?</w:t>
            </w:r>
          </w:p>
          <w:p w14:paraId="62117646" w14:textId="77777777" w:rsidR="00A41303" w:rsidRPr="00525DF9" w:rsidRDefault="00A41303" w:rsidP="00B9490B">
            <w:pPr>
              <w:tabs>
                <w:tab w:val="left" w:pos="163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vMerge w:val="restart"/>
            <w:shd w:val="clear" w:color="auto" w:fill="F2F2F2"/>
          </w:tcPr>
          <w:p w14:paraId="52F34647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59DBEC61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A41303" w:rsidRPr="00525DF9" w14:paraId="2D1AAF0C" w14:textId="77777777" w:rsidTr="00A41303">
        <w:tc>
          <w:tcPr>
            <w:tcW w:w="936" w:type="dxa"/>
            <w:vMerge/>
            <w:shd w:val="clear" w:color="auto" w:fill="F2F2F2"/>
          </w:tcPr>
          <w:p w14:paraId="07154BFB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14" w:type="dxa"/>
            <w:shd w:val="clear" w:color="auto" w:fill="auto"/>
          </w:tcPr>
          <w:p w14:paraId="571087CA" w14:textId="77777777" w:rsidR="00A41303" w:rsidRPr="00525DF9" w:rsidRDefault="00A41303" w:rsidP="00B9490B">
            <w:pPr>
              <w:tabs>
                <w:tab w:val="left" w:pos="4125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525DF9">
              <w:rPr>
                <w:rFonts w:eastAsia="Calibr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763" w:type="dxa"/>
            <w:vMerge/>
            <w:shd w:val="clear" w:color="auto" w:fill="F2F2F2"/>
          </w:tcPr>
          <w:p w14:paraId="303645A6" w14:textId="77777777" w:rsidR="00A41303" w:rsidRPr="00525DF9" w:rsidRDefault="00A41303" w:rsidP="00B9490B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103B7D0A" w14:textId="03CE61C9" w:rsidR="009F17E1" w:rsidRDefault="009F17E1" w:rsidP="009F17E1"/>
    <w:p w14:paraId="1F8A0E4C" w14:textId="0E534EE2" w:rsidR="00691A51" w:rsidRDefault="00691A51" w:rsidP="009F17E1"/>
    <w:p w14:paraId="2D05DC57" w14:textId="54E2BDD6" w:rsidR="00691A51" w:rsidRDefault="00691A51" w:rsidP="009F17E1"/>
    <w:p w14:paraId="1999987B" w14:textId="347B6314" w:rsidR="00691A51" w:rsidRDefault="00691A51" w:rsidP="009F17E1"/>
    <w:p w14:paraId="7C94B92C" w14:textId="0C84F287" w:rsidR="00691A51" w:rsidRDefault="00691A51" w:rsidP="009F17E1"/>
    <w:p w14:paraId="6358D692" w14:textId="77777777" w:rsidR="00691A51" w:rsidRDefault="00691A51" w:rsidP="009F17E1"/>
    <w:p w14:paraId="61499745" w14:textId="77777777" w:rsidR="00AD0413" w:rsidRDefault="00AD0413" w:rsidP="009F17E1"/>
    <w:p w14:paraId="07182113" w14:textId="185B4E3B" w:rsidR="009F17E1" w:rsidRDefault="009F17E1" w:rsidP="00691A51">
      <w:pPr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 xml:space="preserve">KEY: </w:t>
      </w:r>
    </w:p>
    <w:p w14:paraId="01D4EB54" w14:textId="77777777" w:rsidR="00691A51" w:rsidRPr="00691A51" w:rsidRDefault="00691A51" w:rsidP="00691A51">
      <w:pPr>
        <w:rPr>
          <w:rFonts w:eastAsia="Calibri" w:cs="Arial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7E1" w:rsidRPr="00835B42" w14:paraId="3EF7E9FF" w14:textId="77777777" w:rsidTr="00A63EE7">
        <w:tc>
          <w:tcPr>
            <w:tcW w:w="9242" w:type="dxa"/>
            <w:shd w:val="clear" w:color="auto" w:fill="EAF1DD" w:themeFill="accent3" w:themeFillTint="33"/>
          </w:tcPr>
          <w:p w14:paraId="43B98389" w14:textId="28C6CA6A" w:rsidR="009F17E1" w:rsidRPr="00835B42" w:rsidRDefault="009F17E1" w:rsidP="00691A51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Green =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mprovement from the previous year</w:t>
            </w:r>
          </w:p>
        </w:tc>
      </w:tr>
      <w:tr w:rsidR="009F17E1" w:rsidRPr="00835B42" w14:paraId="61D342AD" w14:textId="77777777" w:rsidTr="00B9490B">
        <w:tc>
          <w:tcPr>
            <w:tcW w:w="9242" w:type="dxa"/>
            <w:shd w:val="clear" w:color="auto" w:fill="FDE9D9" w:themeFill="accent6" w:themeFillTint="33"/>
          </w:tcPr>
          <w:p w14:paraId="47D8C390" w14:textId="1FBFE4C1" w:rsidR="009F17E1" w:rsidRPr="00835B42" w:rsidRDefault="009F17E1" w:rsidP="00691A51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Amber = </w:t>
            </w:r>
            <w:r>
              <w:rPr>
                <w:rFonts w:eastAsiaTheme="minorHAnsi" w:cs="Arial"/>
                <w:szCs w:val="24"/>
                <w:lang w:eastAsia="en-US"/>
              </w:rPr>
              <w:t>Re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 xml:space="preserve">mains the same or </w:t>
            </w:r>
            <w:proofErr w:type="gramStart"/>
            <w:r w:rsidRPr="00835B42">
              <w:rPr>
                <w:rFonts w:eastAsiaTheme="minorHAnsi" w:cs="Arial"/>
                <w:szCs w:val="24"/>
                <w:lang w:eastAsia="en-US"/>
              </w:rPr>
              <w:t>similar to</w:t>
            </w:r>
            <w:proofErr w:type="gramEnd"/>
            <w:r w:rsidRPr="00835B42">
              <w:rPr>
                <w:rFonts w:eastAsiaTheme="minorHAnsi" w:cs="Arial"/>
                <w:szCs w:val="24"/>
                <w:lang w:eastAsia="en-US"/>
              </w:rPr>
              <w:t xml:space="preserve"> previous year</w:t>
            </w:r>
          </w:p>
        </w:tc>
      </w:tr>
      <w:tr w:rsidR="009F17E1" w:rsidRPr="00835B42" w14:paraId="42C8FD1A" w14:textId="77777777" w:rsidTr="00B9490B">
        <w:tc>
          <w:tcPr>
            <w:tcW w:w="9242" w:type="dxa"/>
            <w:shd w:val="clear" w:color="auto" w:fill="F2DBDB" w:themeFill="accent2" w:themeFillTint="33"/>
          </w:tcPr>
          <w:p w14:paraId="00B1DF1D" w14:textId="5F4F91B1" w:rsidR="009F17E1" w:rsidRPr="00835B42" w:rsidRDefault="009F17E1" w:rsidP="00691A51">
            <w:pPr>
              <w:rPr>
                <w:rFonts w:eastAsiaTheme="minorHAnsi" w:cs="Arial"/>
                <w:szCs w:val="24"/>
                <w:lang w:eastAsia="en-US"/>
              </w:rPr>
            </w:pPr>
            <w:r w:rsidRPr="00835B42">
              <w:rPr>
                <w:rFonts w:eastAsiaTheme="minorHAnsi" w:cs="Arial"/>
                <w:szCs w:val="24"/>
                <w:lang w:eastAsia="en-US"/>
              </w:rPr>
              <w:t xml:space="preserve">Red = </w:t>
            </w:r>
            <w:r>
              <w:rPr>
                <w:rFonts w:eastAsiaTheme="minorHAnsi" w:cs="Arial"/>
                <w:szCs w:val="24"/>
                <w:lang w:eastAsia="en-US"/>
              </w:rPr>
              <w:t>D</w:t>
            </w:r>
            <w:r w:rsidRPr="00835B42">
              <w:rPr>
                <w:rFonts w:eastAsiaTheme="minorHAnsi" w:cs="Arial"/>
                <w:szCs w:val="24"/>
                <w:lang w:eastAsia="en-US"/>
              </w:rPr>
              <w:t>ecline from previous year</w:t>
            </w:r>
          </w:p>
        </w:tc>
      </w:tr>
    </w:tbl>
    <w:p w14:paraId="33A2B6AC" w14:textId="77777777" w:rsidR="009F17E1" w:rsidRPr="00691A51" w:rsidRDefault="009F17E1" w:rsidP="00691A51">
      <w:pPr>
        <w:rPr>
          <w:rFonts w:eastAsia="Calibri" w:cs="Arial"/>
          <w:b/>
          <w:sz w:val="4"/>
          <w:szCs w:val="4"/>
          <w:lang w:eastAsia="en-US"/>
        </w:rPr>
      </w:pPr>
    </w:p>
    <w:p w14:paraId="250B9EDF" w14:textId="77777777" w:rsidR="00691A51" w:rsidRDefault="00691A51" w:rsidP="00691A51">
      <w:pPr>
        <w:rPr>
          <w:rFonts w:eastAsia="Calibri" w:cs="Arial"/>
          <w:b/>
          <w:sz w:val="28"/>
          <w:szCs w:val="28"/>
          <w:lang w:eastAsia="en-US"/>
        </w:rPr>
      </w:pPr>
    </w:p>
    <w:p w14:paraId="1855F401" w14:textId="39A5B488" w:rsidR="009F17E1" w:rsidRDefault="00691A51" w:rsidP="00691A51">
      <w:pPr>
        <w:rPr>
          <w:rFonts w:eastAsia="Calibri" w:cs="Arial"/>
          <w:b/>
          <w:sz w:val="28"/>
          <w:szCs w:val="28"/>
          <w:lang w:eastAsia="en-US"/>
        </w:rPr>
      </w:pPr>
      <w:r w:rsidRPr="00691A51">
        <w:rPr>
          <w:rFonts w:eastAsia="Calibri" w:cs="Arial"/>
          <w:b/>
          <w:sz w:val="28"/>
          <w:szCs w:val="28"/>
          <w:lang w:eastAsia="en-US"/>
        </w:rPr>
        <w:t xml:space="preserve">SEXUAL ORIENTATION </w:t>
      </w:r>
      <w:r>
        <w:rPr>
          <w:rFonts w:eastAsia="Calibri" w:cs="Arial"/>
          <w:b/>
          <w:sz w:val="28"/>
          <w:szCs w:val="28"/>
          <w:lang w:eastAsia="en-US"/>
        </w:rPr>
        <w:t xml:space="preserve">WORKFORCE </w:t>
      </w:r>
      <w:r w:rsidR="009F17E1" w:rsidRPr="0063480A">
        <w:rPr>
          <w:rFonts w:eastAsia="Calibri" w:cs="Arial"/>
          <w:b/>
          <w:sz w:val="28"/>
          <w:szCs w:val="28"/>
          <w:lang w:eastAsia="en-US"/>
        </w:rPr>
        <w:t>EQUALITY STANDARD</w:t>
      </w:r>
    </w:p>
    <w:tbl>
      <w:tblPr>
        <w:tblStyle w:val="TableGrid"/>
        <w:tblW w:w="12476" w:type="dxa"/>
        <w:tblInd w:w="-289" w:type="dxa"/>
        <w:tblLook w:val="04A0" w:firstRow="1" w:lastRow="0" w:firstColumn="1" w:lastColumn="0" w:noHBand="0" w:noVBand="1"/>
      </w:tblPr>
      <w:tblGrid>
        <w:gridCol w:w="639"/>
        <w:gridCol w:w="2254"/>
        <w:gridCol w:w="1768"/>
        <w:gridCol w:w="1768"/>
        <w:gridCol w:w="1739"/>
        <w:gridCol w:w="1739"/>
        <w:gridCol w:w="2569"/>
      </w:tblGrid>
      <w:tr w:rsidR="000872FF" w14:paraId="7EA2D11F" w14:textId="77777777" w:rsidTr="000872FF">
        <w:trPr>
          <w:trHeight w:val="2012"/>
        </w:trPr>
        <w:tc>
          <w:tcPr>
            <w:tcW w:w="639" w:type="dxa"/>
            <w:shd w:val="clear" w:color="auto" w:fill="DDDDDD"/>
          </w:tcPr>
          <w:p w14:paraId="53C01284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shd w:val="clear" w:color="auto" w:fill="DDDDDD"/>
          </w:tcPr>
          <w:p w14:paraId="0A9330E4" w14:textId="7D3C83D4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Indicator</w:t>
            </w:r>
          </w:p>
        </w:tc>
        <w:tc>
          <w:tcPr>
            <w:tcW w:w="1768" w:type="dxa"/>
            <w:shd w:val="clear" w:color="auto" w:fill="DDDDDD"/>
          </w:tcPr>
          <w:p w14:paraId="5844A60C" w14:textId="43B174E1" w:rsidR="000872FF" w:rsidRPr="009459EB" w:rsidRDefault="000872FF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Data for 2023</w:t>
            </w:r>
          </w:p>
        </w:tc>
        <w:tc>
          <w:tcPr>
            <w:tcW w:w="1768" w:type="dxa"/>
            <w:shd w:val="clear" w:color="auto" w:fill="DDDDDD"/>
          </w:tcPr>
          <w:p w14:paraId="5B4BA17A" w14:textId="09DDA95E" w:rsidR="000872FF" w:rsidRPr="009459EB" w:rsidRDefault="000872FF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</w:t>
            </w:r>
          </w:p>
          <w:p w14:paraId="4BC753A0" w14:textId="7F7EADEB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9" w:type="dxa"/>
            <w:shd w:val="clear" w:color="auto" w:fill="DDDDDD"/>
          </w:tcPr>
          <w:p w14:paraId="39E30017" w14:textId="17B73585" w:rsidR="000872FF" w:rsidRPr="009459EB" w:rsidRDefault="000872FF" w:rsidP="009F17E1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</w:p>
          <w:p w14:paraId="38DFEED4" w14:textId="5487459A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9" w:type="dxa"/>
            <w:shd w:val="clear" w:color="auto" w:fill="DDDDDD"/>
          </w:tcPr>
          <w:p w14:paraId="01D9FC5B" w14:textId="6485F73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Data for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2020, </w:t>
            </w: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2019, 2018, 2017</w:t>
            </w:r>
          </w:p>
        </w:tc>
        <w:tc>
          <w:tcPr>
            <w:tcW w:w="2569" w:type="dxa"/>
            <w:shd w:val="clear" w:color="auto" w:fill="DDDDDD"/>
          </w:tcPr>
          <w:p w14:paraId="22B2F186" w14:textId="0269E3C2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459EB">
              <w:rPr>
                <w:rFonts w:eastAsia="Calibri" w:cs="Arial"/>
                <w:b/>
                <w:sz w:val="22"/>
                <w:szCs w:val="22"/>
                <w:lang w:eastAsia="en-US"/>
              </w:rPr>
              <w:t>Narrative – the implications of the data and any additional background explanatory narrative</w:t>
            </w:r>
          </w:p>
        </w:tc>
      </w:tr>
      <w:tr w:rsidR="000872FF" w14:paraId="45EF6788" w14:textId="77777777" w:rsidTr="000872FF">
        <w:trPr>
          <w:trHeight w:val="1393"/>
        </w:trPr>
        <w:tc>
          <w:tcPr>
            <w:tcW w:w="639" w:type="dxa"/>
          </w:tcPr>
          <w:p w14:paraId="473D9DDA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1DD9D52" w14:textId="0F331EEE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691A51">
              <w:rPr>
                <w:rFonts w:eastAsia="Calibri" w:cs="Arial"/>
                <w:sz w:val="22"/>
                <w:szCs w:val="22"/>
                <w:lang w:eastAsia="en-US"/>
              </w:rPr>
              <w:t>For each of these four workforce indicators, compare the data for LGB staff and heterosexual staff.</w:t>
            </w:r>
          </w:p>
        </w:tc>
        <w:tc>
          <w:tcPr>
            <w:tcW w:w="1768" w:type="dxa"/>
          </w:tcPr>
          <w:p w14:paraId="71AD43A3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4DE9268F" w14:textId="5CA2EEBA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14:paraId="047918A4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14:paraId="34B2F324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14:paraId="50268252" w14:textId="77777777" w:rsidR="000872FF" w:rsidRDefault="000872FF" w:rsidP="009F17E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</w:p>
        </w:tc>
      </w:tr>
      <w:tr w:rsidR="000872FF" w:rsidRPr="00A41303" w14:paraId="7AE9A8F0" w14:textId="77777777" w:rsidTr="00FD25C9">
        <w:tc>
          <w:tcPr>
            <w:tcW w:w="639" w:type="dxa"/>
          </w:tcPr>
          <w:p w14:paraId="0C63AEB7" w14:textId="04CB4068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</w:tcPr>
          <w:p w14:paraId="673261F1" w14:textId="1409022C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color w:val="000000" w:themeColor="text1"/>
                <w:sz w:val="22"/>
                <w:szCs w:val="22"/>
              </w:rPr>
              <w:t xml:space="preserve">Percentage of staff in each of the </w:t>
            </w:r>
            <w:proofErr w:type="spellStart"/>
            <w:r w:rsidRPr="00691A51">
              <w:rPr>
                <w:color w:val="000000" w:themeColor="text1"/>
                <w:sz w:val="22"/>
                <w:szCs w:val="22"/>
              </w:rPr>
              <w:t>AfC</w:t>
            </w:r>
            <w:proofErr w:type="spellEnd"/>
            <w:r w:rsidRPr="00691A51">
              <w:rPr>
                <w:color w:val="000000" w:themeColor="text1"/>
                <w:sz w:val="22"/>
                <w:szCs w:val="22"/>
              </w:rPr>
              <w:t xml:space="preserve"> Bands 1-9 and VSM (including executive Board members) compared with the percentage of staff in the overall workforce.  Organisations should undertake this calculation separately for non-</w:t>
            </w:r>
            <w:r w:rsidRPr="00691A51">
              <w:rPr>
                <w:color w:val="000000" w:themeColor="text1"/>
                <w:sz w:val="22"/>
                <w:szCs w:val="22"/>
              </w:rPr>
              <w:lastRenderedPageBreak/>
              <w:t>clinical and for clinical staff.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14:paraId="2D69F9CC" w14:textId="25A6D5F1" w:rsidR="000872FF" w:rsidRPr="00691A51" w:rsidRDefault="00FD25C9" w:rsidP="00691A5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691A51">
              <w:rPr>
                <w:color w:val="000000" w:themeColor="text1"/>
                <w:sz w:val="22"/>
                <w:szCs w:val="22"/>
              </w:rPr>
              <w:lastRenderedPageBreak/>
              <w:t xml:space="preserve">Please see appendix 1 at the end of the document </w:t>
            </w:r>
          </w:p>
        </w:tc>
        <w:tc>
          <w:tcPr>
            <w:tcW w:w="1768" w:type="dxa"/>
            <w:shd w:val="clear" w:color="auto" w:fill="FFFFFF" w:themeFill="background1"/>
          </w:tcPr>
          <w:p w14:paraId="12E454FD" w14:textId="63331344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5C9D19BE" w14:textId="3977027A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11F171D5" w14:textId="77777777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5397C7AC" w14:textId="452D05D6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10% of staff have not declared their sexual orientation</w:t>
            </w:r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, this is the same as last </w:t>
            </w:r>
            <w:proofErr w:type="spellStart"/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years</w:t>
            </w:r>
            <w:proofErr w:type="spellEnd"/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data.</w:t>
            </w:r>
          </w:p>
          <w:p w14:paraId="00D3E2F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6A8A9C1" w14:textId="2FB467A3" w:rsidR="000872FF" w:rsidRPr="00691A51" w:rsidRDefault="000872FF" w:rsidP="00FD25C9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72FF" w14:paraId="4471524B" w14:textId="77777777" w:rsidTr="000872FF">
        <w:trPr>
          <w:trHeight w:val="5944"/>
        </w:trPr>
        <w:tc>
          <w:tcPr>
            <w:tcW w:w="639" w:type="dxa"/>
          </w:tcPr>
          <w:p w14:paraId="7102FF16" w14:textId="16866C04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4" w:type="dxa"/>
          </w:tcPr>
          <w:p w14:paraId="1B00F198" w14:textId="3DEA8376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Relative likelihood of staff being appointed from shortlisting across all posts.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14:paraId="140E680D" w14:textId="53D26F68" w:rsidR="000872FF" w:rsidRPr="00691A51" w:rsidRDefault="001104D9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1768" w:type="dxa"/>
            <w:shd w:val="clear" w:color="auto" w:fill="FFFFFF" w:themeFill="background1"/>
          </w:tcPr>
          <w:p w14:paraId="68C20D92" w14:textId="55A0C766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people are 1.09 times more likely to be appointed compared to LGB people.</w:t>
            </w:r>
          </w:p>
          <w:p w14:paraId="0E411EC7" w14:textId="199A2A78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73466180" w14:textId="54FEDEEC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people and LGB people are equally likely to be appointed compared to LGB people.</w:t>
            </w:r>
          </w:p>
        </w:tc>
        <w:tc>
          <w:tcPr>
            <w:tcW w:w="1739" w:type="dxa"/>
          </w:tcPr>
          <w:p w14:paraId="5A22F972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0AC87125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people and LGB people are equally likely to be appointed compared to LGB people.</w:t>
            </w:r>
          </w:p>
          <w:p w14:paraId="46A94D0A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7FD661A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6E1767F4" w14:textId="7F42DBBE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staff are 1.05 times more likely to be appointed from shortlisted posts than LGB staff.</w:t>
            </w:r>
          </w:p>
        </w:tc>
        <w:tc>
          <w:tcPr>
            <w:tcW w:w="2569" w:type="dxa"/>
          </w:tcPr>
          <w:p w14:paraId="12FBF09B" w14:textId="55D70635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The data shows a similar picture of the previous years.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There is little difference in the likelihood of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heterosexual people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being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appointed from shortlisting compared to LBG people.</w:t>
            </w:r>
          </w:p>
        </w:tc>
      </w:tr>
      <w:tr w:rsidR="000872FF" w14:paraId="4AE84AAD" w14:textId="77777777" w:rsidTr="00BF745E">
        <w:tc>
          <w:tcPr>
            <w:tcW w:w="639" w:type="dxa"/>
          </w:tcPr>
          <w:p w14:paraId="4A6EF0E5" w14:textId="38E3D97F" w:rsidR="000872FF" w:rsidRDefault="000872FF" w:rsidP="00691A5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4" w:type="dxa"/>
          </w:tcPr>
          <w:p w14:paraId="1D1C5F61" w14:textId="1E722B8F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Relative likelihood of staff entering the formal disciplinary process, as measured by entry into a formal disciplinary investigation.  This indicator will be based on data from last </w:t>
            </w:r>
            <w:proofErr w:type="gramStart"/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two year</w:t>
            </w:r>
            <w:proofErr w:type="gramEnd"/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rolling average of the 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current year and the previous year.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14:paraId="19B1A335" w14:textId="3698AC40" w:rsidR="000872FF" w:rsidRPr="00691A51" w:rsidRDefault="00BF745E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1.65</w:t>
            </w:r>
          </w:p>
        </w:tc>
        <w:tc>
          <w:tcPr>
            <w:tcW w:w="1768" w:type="dxa"/>
            <w:shd w:val="clear" w:color="auto" w:fill="FFFFFF" w:themeFill="background1"/>
          </w:tcPr>
          <w:p w14:paraId="4EA37D92" w14:textId="07BA85F4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LGB staff are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1.68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times more likely to enter disciplinary than heterosexual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1152141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2A9A4F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483CC13" w14:textId="17AFA58C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2F38EBD1" w14:textId="56B31135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LGB staff are 1.11 times more likely to enter disciplinary than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heterosexual.</w:t>
            </w:r>
          </w:p>
        </w:tc>
        <w:tc>
          <w:tcPr>
            <w:tcW w:w="1739" w:type="dxa"/>
          </w:tcPr>
          <w:p w14:paraId="3AA59FC5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7EEF185D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LGB staff are 1.49 times more likely to enter disciplinary than heterosexual</w:t>
            </w:r>
          </w:p>
          <w:p w14:paraId="358692C9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6B9EB2F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3DB55332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LGB staff are 2.5 times more likely to enter the formal disciplinary 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process than heterosexual staff.</w:t>
            </w:r>
          </w:p>
          <w:p w14:paraId="345CE417" w14:textId="6AA70D4F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5B6906E" w14:textId="67CF81AF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EAEF97B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35BB6E85" w14:textId="704579C1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"/>
                <w:szCs w:val="2"/>
                <w:lang w:eastAsia="en-US"/>
              </w:rPr>
            </w:pPr>
          </w:p>
        </w:tc>
        <w:tc>
          <w:tcPr>
            <w:tcW w:w="2569" w:type="dxa"/>
          </w:tcPr>
          <w:p w14:paraId="728BA3A1" w14:textId="3E8B1962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This indicator </w:t>
            </w:r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is </w:t>
            </w:r>
            <w:proofErr w:type="gramStart"/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similar to</w:t>
            </w:r>
            <w:proofErr w:type="gramEnd"/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last year</w:t>
            </w:r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s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, with LGB staff being 1.6</w:t>
            </w:r>
            <w:r w:rsidR="00FD25C9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times more likely to enter disciplinary processes.</w:t>
            </w:r>
          </w:p>
        </w:tc>
      </w:tr>
      <w:tr w:rsidR="000872FF" w14:paraId="25AEC17F" w14:textId="77777777" w:rsidTr="000872FF">
        <w:tc>
          <w:tcPr>
            <w:tcW w:w="639" w:type="dxa"/>
          </w:tcPr>
          <w:p w14:paraId="515625C9" w14:textId="2CAE735C" w:rsidR="000872FF" w:rsidRDefault="000872FF" w:rsidP="00691A5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9C1D7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4" w:type="dxa"/>
          </w:tcPr>
          <w:p w14:paraId="70F4662F" w14:textId="067E9167" w:rsidR="000872FF" w:rsidRPr="00691A51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Relative likelihood of staff accessing non-mandatory training and CPD.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14:paraId="7EB88093" w14:textId="4EB248C6" w:rsidR="00BF745E" w:rsidRDefault="00BF745E" w:rsidP="00BF745E">
            <w:pPr>
              <w:autoSpaceDE w:val="0"/>
              <w:autoSpaceDN w:val="0"/>
              <w:adjustRightInd w:val="0"/>
              <w:ind w:left="-115" w:right="100"/>
              <w:rPr>
                <w:rFonts w:cs="Arial"/>
                <w:color w:val="000000" w:themeColor="text1"/>
                <w:sz w:val="22"/>
                <w:szCs w:val="22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LGB staff and heterosexual people are equally likely to</w:t>
            </w:r>
            <w:r w:rsidRPr="00691A51">
              <w:rPr>
                <w:rFonts w:cs="Arial"/>
                <w:color w:val="000000" w:themeColor="text1"/>
                <w:sz w:val="22"/>
                <w:szCs w:val="22"/>
              </w:rPr>
              <w:t xml:space="preserve"> report that they have access to the right learning and development opportunities when they need to.</w:t>
            </w:r>
          </w:p>
          <w:p w14:paraId="289EC659" w14:textId="6E2C05D1" w:rsidR="00680FBD" w:rsidRDefault="00680FBD" w:rsidP="00BF745E">
            <w:pPr>
              <w:autoSpaceDE w:val="0"/>
              <w:autoSpaceDN w:val="0"/>
              <w:adjustRightInd w:val="0"/>
              <w:ind w:left="-115" w:right="10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9E819B0" w14:textId="09BD935A" w:rsidR="00680FBD" w:rsidRDefault="00680FBD" w:rsidP="00BF745E">
            <w:pPr>
              <w:autoSpaceDE w:val="0"/>
              <w:autoSpaceDN w:val="0"/>
              <w:adjustRightInd w:val="0"/>
              <w:ind w:left="-115" w:right="10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0EB42CD" w14:textId="3C6EA2DE" w:rsidR="00680FBD" w:rsidRDefault="00680FBD" w:rsidP="00BF745E">
            <w:pPr>
              <w:autoSpaceDE w:val="0"/>
              <w:autoSpaceDN w:val="0"/>
              <w:adjustRightInd w:val="0"/>
              <w:ind w:left="-115" w:right="10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B6AE3CE" w14:textId="77777777" w:rsidR="00680FBD" w:rsidRPr="00691A51" w:rsidRDefault="00680FBD" w:rsidP="00BF745E">
            <w:pPr>
              <w:autoSpaceDE w:val="0"/>
              <w:autoSpaceDN w:val="0"/>
              <w:adjustRightInd w:val="0"/>
              <w:ind w:left="-115" w:right="100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0718ADF" w14:textId="77777777" w:rsidR="000872FF" w:rsidRPr="00691A51" w:rsidRDefault="000872FF" w:rsidP="00691A51">
            <w:pPr>
              <w:autoSpaceDE w:val="0"/>
              <w:autoSpaceDN w:val="0"/>
              <w:adjustRightInd w:val="0"/>
              <w:ind w:left="-115" w:right="100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2"/>
            </w:tblGrid>
            <w:tr w:rsidR="000872FF" w:rsidRPr="00691A51" w14:paraId="5B1CB325" w14:textId="77777777" w:rsidTr="000872FF">
              <w:trPr>
                <w:trHeight w:val="117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409CD178" w14:textId="4ECED942" w:rsidR="000872FF" w:rsidRPr="00691A51" w:rsidRDefault="000872FF" w:rsidP="00691A51">
                  <w:pPr>
                    <w:autoSpaceDE w:val="0"/>
                    <w:autoSpaceDN w:val="0"/>
                    <w:adjustRightInd w:val="0"/>
                    <w:ind w:left="-115" w:right="10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91A51"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  <w:t>LGB staff and heterosexual people are equally likely to</w:t>
                  </w:r>
                  <w:r w:rsidRPr="00691A5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report that they have access to the right learning and development opportunities when they need to.</w:t>
                  </w:r>
                </w:p>
              </w:tc>
            </w:tr>
          </w:tbl>
          <w:p w14:paraId="6B0114EE" w14:textId="6ABD67DF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7711886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LGB staff and heterosexual people are equally likely to respond positively on the staff FFT question on the question: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0872FF" w:rsidRPr="00691A51" w14:paraId="3A40F4FD" w14:textId="77777777" w:rsidTr="00FC3AB3">
              <w:trPr>
                <w:trHeight w:val="117"/>
              </w:trPr>
              <w:tc>
                <w:tcPr>
                  <w:tcW w:w="2217" w:type="dxa"/>
                </w:tcPr>
                <w:p w14:paraId="76A9C754" w14:textId="77777777" w:rsidR="000872FF" w:rsidRPr="00691A51" w:rsidRDefault="000872FF" w:rsidP="00691A51">
                  <w:pPr>
                    <w:autoSpaceDE w:val="0"/>
                    <w:autoSpaceDN w:val="0"/>
                    <w:adjustRightInd w:val="0"/>
                    <w:ind w:left="-115"/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I </w:t>
                  </w:r>
                  <w:proofErr w:type="gramStart"/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am able to</w:t>
                  </w:r>
                  <w:proofErr w:type="gramEnd"/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access job relevant non-mandatory training and/or Continuing Professional Development opportunities </w:t>
                  </w:r>
                </w:p>
                <w:p w14:paraId="6A50D67A" w14:textId="77777777" w:rsidR="000872FF" w:rsidRPr="00691A51" w:rsidRDefault="000872FF" w:rsidP="00691A51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38CD20B" w14:textId="0CF694F6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6903729D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4450CFA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LGB staff and heterosexual people are equally likely to respond positively on the staff FFT question on the question: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0872FF" w:rsidRPr="00691A51" w14:paraId="53F43F07" w14:textId="77777777" w:rsidTr="00FC3AB3">
              <w:trPr>
                <w:trHeight w:val="117"/>
              </w:trPr>
              <w:tc>
                <w:tcPr>
                  <w:tcW w:w="2217" w:type="dxa"/>
                </w:tcPr>
                <w:p w14:paraId="6B3BBCC5" w14:textId="77777777" w:rsidR="000872FF" w:rsidRPr="00691A51" w:rsidRDefault="000872FF" w:rsidP="00691A51">
                  <w:pPr>
                    <w:autoSpaceDE w:val="0"/>
                    <w:autoSpaceDN w:val="0"/>
                    <w:adjustRightInd w:val="0"/>
                    <w:ind w:left="-115"/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I </w:t>
                  </w:r>
                  <w:proofErr w:type="gramStart"/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am able to</w:t>
                  </w:r>
                  <w:proofErr w:type="gramEnd"/>
                  <w:r w:rsidRPr="00691A51">
                    <w:rPr>
                      <w:rFonts w:eastAsia="Calibr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access job relevant non-mandatory training and/or Continuing Professional Development opportunities </w:t>
                  </w:r>
                </w:p>
                <w:p w14:paraId="6DC5AFC0" w14:textId="77777777" w:rsidR="000872FF" w:rsidRPr="00691A51" w:rsidRDefault="000872FF" w:rsidP="00691A51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C22C722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5603B14D" w14:textId="77777777" w:rsidR="000872FF" w:rsidRDefault="000872FF" w:rsidP="00691A51">
            <w:pPr>
              <w:keepLines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staff and LGB staff are equally likely to access non-mandatory training and CPD.</w:t>
            </w:r>
          </w:p>
          <w:p w14:paraId="6C62B2E8" w14:textId="091DC463" w:rsidR="000872FF" w:rsidRPr="00691A51" w:rsidRDefault="000872FF" w:rsidP="00691A51">
            <w:pPr>
              <w:keepLines/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19AF9C1A" w14:textId="07726A21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This indicator has been taken from a response to the staff survey Q20e due to the new Pulse survey not including a relevant question. </w:t>
            </w:r>
          </w:p>
          <w:p w14:paraId="4B5E3374" w14:textId="77777777" w:rsidR="009358FC" w:rsidRDefault="009358F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D540FE7" w14:textId="7DD60D03" w:rsidR="00FD25C9" w:rsidRPr="00691A51" w:rsidRDefault="00FD25C9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The indicator continues to show that LGB report that they have the same results</w:t>
            </w:r>
            <w:r w:rsidR="009358F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as heterosexual staff regarding having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the right learning and developmental opportunities</w:t>
            </w:r>
            <w:r w:rsidR="009358F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1764FFD" w14:textId="570F9C93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72FF" w14:paraId="572684BA" w14:textId="77777777" w:rsidTr="000872FF">
        <w:tc>
          <w:tcPr>
            <w:tcW w:w="639" w:type="dxa"/>
          </w:tcPr>
          <w:p w14:paraId="56472A63" w14:textId="77777777" w:rsidR="000872FF" w:rsidRPr="003A5F50" w:rsidRDefault="000872FF" w:rsidP="00691A51">
            <w:pPr>
              <w:spacing w:after="200" w:line="276" w:lineRule="auto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BEC562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National NHS Staff Survey indicators (or equivalent).</w:t>
            </w:r>
          </w:p>
          <w:p w14:paraId="584DFF26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For each of the four staff survey indicators, 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compare 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u w:val="single"/>
                <w:lang w:eastAsia="en-US"/>
              </w:rPr>
              <w:lastRenderedPageBreak/>
              <w:t>the outcomes of the responses for LGB and heterosexual staff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E26948D" w14:textId="66B5BEAC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560B54F" w14:textId="4A1875F5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EBBD53E" w14:textId="16F087D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497EE31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331E9A4" w14:textId="43423636" w:rsidR="000872FF" w:rsidRPr="003A5F50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14:paraId="6E2C478F" w14:textId="77777777" w:rsidR="000872FF" w:rsidRPr="003A5F50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CDCEB9B" w14:textId="4EE97B4E" w:rsidR="000872FF" w:rsidRPr="003A5F50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3247678A" w14:textId="77777777" w:rsidR="000872FF" w:rsidRPr="003A5F50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785BD586" w14:textId="77777777" w:rsidR="000872FF" w:rsidRPr="003A5F50" w:rsidRDefault="000872FF" w:rsidP="00691A51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761B5EF3" w14:textId="77777777" w:rsidR="000872FF" w:rsidRPr="003A5F50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72FF" w14:paraId="45A29A06" w14:textId="77777777" w:rsidTr="00F56ADC">
        <w:tc>
          <w:tcPr>
            <w:tcW w:w="639" w:type="dxa"/>
          </w:tcPr>
          <w:p w14:paraId="33191FD7" w14:textId="41E83997" w:rsidR="000872FF" w:rsidRPr="003A5F50" w:rsidRDefault="000872FF" w:rsidP="00691A51">
            <w:pPr>
              <w:spacing w:after="200" w:line="276" w:lineRule="auto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A5F50">
              <w:rPr>
                <w:rFonts w:eastAsia="Calibr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254" w:type="dxa"/>
          </w:tcPr>
          <w:p w14:paraId="65E746B5" w14:textId="2EF40395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KF 25. Percentage of staff experiencing harassment, bullying or abuse from patients, </w:t>
            </w:r>
            <w:proofErr w:type="gramStart"/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relatives</w:t>
            </w:r>
            <w:proofErr w:type="gramEnd"/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or the public in last 12 months.</w:t>
            </w:r>
          </w:p>
        </w:tc>
        <w:tc>
          <w:tcPr>
            <w:tcW w:w="1768" w:type="dxa"/>
            <w:shd w:val="clear" w:color="auto" w:fill="FFFFFF" w:themeFill="background1"/>
          </w:tcPr>
          <w:p w14:paraId="75B6645F" w14:textId="77777777" w:rsidR="00F5348D" w:rsidRPr="00691A51" w:rsidRDefault="00F5348D" w:rsidP="00F56ADC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713599A1" w14:textId="5EA8EDD0" w:rsidR="00F5348D" w:rsidRPr="00F5348D" w:rsidRDefault="00F5348D" w:rsidP="00F56ADC">
            <w:pPr>
              <w:shd w:val="clear" w:color="auto" w:fill="EAF1DD" w:themeFill="accent3" w:themeFillTint="33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27.8%</w:t>
            </w:r>
          </w:p>
          <w:p w14:paraId="30539EEA" w14:textId="7A97193E" w:rsidR="00F5348D" w:rsidRPr="00691A51" w:rsidRDefault="00F5348D" w:rsidP="00F56ADC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28.2%</w:t>
            </w:r>
          </w:p>
          <w:p w14:paraId="1304405E" w14:textId="2662731E" w:rsidR="00F5348D" w:rsidRDefault="00F5348D" w:rsidP="00F56ADC">
            <w:pPr>
              <w:shd w:val="clear" w:color="auto" w:fill="EAF1DD" w:themeFill="accent3" w:themeFillTint="33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2.7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29E706B7" w14:textId="1EF95287" w:rsidR="00F56ADC" w:rsidRDefault="00F56ADC" w:rsidP="00F5348D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DDFD9C9" w14:textId="15DA08C4" w:rsidR="00F56ADC" w:rsidRDefault="00F56ADC" w:rsidP="00F5348D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Gender Identity</w:t>
            </w:r>
          </w:p>
          <w:p w14:paraId="688F0AC9" w14:textId="30C4F5F3" w:rsidR="00F56ADC" w:rsidRDefault="00F56ADC" w:rsidP="00F5348D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Same as assigned at birth </w:t>
            </w:r>
          </w:p>
          <w:p w14:paraId="5DF377C8" w14:textId="6277F728" w:rsidR="00F56ADC" w:rsidRPr="00F56ADC" w:rsidRDefault="00F56ADC" w:rsidP="00F5348D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23.1%</w:t>
            </w:r>
          </w:p>
          <w:p w14:paraId="2067B81D" w14:textId="4753C522" w:rsidR="00F56ADC" w:rsidRDefault="00F56ADC" w:rsidP="00F5348D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Not the same as assigned at birth </w:t>
            </w:r>
          </w:p>
          <w:p w14:paraId="73BE8968" w14:textId="64256368" w:rsidR="00F56ADC" w:rsidRDefault="00F56ADC" w:rsidP="00F5348D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54.4%</w:t>
            </w:r>
          </w:p>
          <w:p w14:paraId="09636D71" w14:textId="3CCE2CC9" w:rsidR="00F56ADC" w:rsidRPr="00F56ADC" w:rsidRDefault="00F56ADC" w:rsidP="00F5348D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Prefer not to say</w:t>
            </w:r>
          </w:p>
          <w:p w14:paraId="764C26C3" w14:textId="075AA0E5" w:rsidR="00F56ADC" w:rsidRPr="00F56ADC" w:rsidRDefault="00F56ADC" w:rsidP="00F5348D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19.2%</w:t>
            </w:r>
          </w:p>
          <w:p w14:paraId="3B26155D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623A2486" w14:textId="33C22C31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  <w:p w14:paraId="6B9807C3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426EB0F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33%</w:t>
            </w:r>
          </w:p>
          <w:p w14:paraId="2B86ACA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33.3%</w:t>
            </w:r>
          </w:p>
          <w:p w14:paraId="689A1E64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23.4%</w:t>
            </w:r>
          </w:p>
          <w:p w14:paraId="74908928" w14:textId="0CD534F7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7B8CC41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624C4195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227CE20C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32.4%</w:t>
            </w:r>
          </w:p>
          <w:p w14:paraId="2BF8B5EF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33.3%</w:t>
            </w:r>
          </w:p>
          <w:p w14:paraId="7F6867EA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23.7%</w:t>
            </w:r>
          </w:p>
          <w:p w14:paraId="67EAC9F3" w14:textId="435AC8C6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636770E5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1262E8D2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38.2%</w:t>
            </w:r>
          </w:p>
          <w:p w14:paraId="778A7BC7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33.3%</w:t>
            </w:r>
          </w:p>
          <w:p w14:paraId="16BB8A0A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26.7%</w:t>
            </w:r>
          </w:p>
          <w:p w14:paraId="33AB6824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28.9%</w:t>
            </w:r>
          </w:p>
          <w:p w14:paraId="51C703FF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AF11C1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  <w:p w14:paraId="6ECF58A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36%</w:t>
            </w:r>
          </w:p>
          <w:p w14:paraId="2388BE49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26%</w:t>
            </w:r>
          </w:p>
          <w:p w14:paraId="4FF8B23D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40%</w:t>
            </w:r>
          </w:p>
          <w:p w14:paraId="12DA9F1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26%</w:t>
            </w:r>
          </w:p>
          <w:p w14:paraId="35526A63" w14:textId="7F7EED19" w:rsidR="000872FF" w:rsidRPr="00691A51" w:rsidRDefault="000872FF" w:rsidP="00691A51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6815C90F" w14:textId="586B6642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LGB staff continue to report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higher levels of harassment and bullying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from patients, relatives or the public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compared to heterosexual staff.</w:t>
            </w:r>
          </w:p>
          <w:p w14:paraId="2B3ED45C" w14:textId="246593DB" w:rsidR="00F56ADC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7E60881" w14:textId="2A213992" w:rsidR="00F56ADC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In the 2022 staff survey results we were able to gather data regarding staff who are not the same gender as assigned at birth as 11 people identified in this way. </w:t>
            </w:r>
          </w:p>
          <w:p w14:paraId="57AA4F48" w14:textId="5AC22CCE" w:rsidR="00F56ADC" w:rsidRPr="00691A51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Those who identified as gender not the same as assigned at birth were more likely to report experiencing h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arassment and bullying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from patients, </w:t>
            </w:r>
            <w:proofErr w:type="gramStart"/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relatives</w:t>
            </w:r>
            <w:proofErr w:type="gramEnd"/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or the public</w:t>
            </w:r>
          </w:p>
          <w:p w14:paraId="35C81C27" w14:textId="4CA20AA3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72FF" w14:paraId="66ABDCAD" w14:textId="77777777" w:rsidTr="00F5348D">
        <w:trPr>
          <w:trHeight w:val="1119"/>
        </w:trPr>
        <w:tc>
          <w:tcPr>
            <w:tcW w:w="639" w:type="dxa"/>
          </w:tcPr>
          <w:p w14:paraId="09FBB83E" w14:textId="0972885F" w:rsidR="000872FF" w:rsidRDefault="000872FF" w:rsidP="00691A5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54" w:type="dxa"/>
          </w:tcPr>
          <w:p w14:paraId="18D7D0C2" w14:textId="43CB1135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KF 26. Percentage of staff experiencing harassment, bullying or abuse from staff in the last 12 months.</w:t>
            </w:r>
          </w:p>
        </w:tc>
        <w:tc>
          <w:tcPr>
            <w:tcW w:w="1768" w:type="dxa"/>
            <w:shd w:val="clear" w:color="auto" w:fill="FFFFFF" w:themeFill="background1"/>
          </w:tcPr>
          <w:p w14:paraId="397A4AAD" w14:textId="77777777" w:rsidR="00F5348D" w:rsidRPr="00691A51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238FB068" w14:textId="4AE9A7A8" w:rsidR="00F5348D" w:rsidRPr="00691A51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7.7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5A6F4C4A" w14:textId="55D7AA44" w:rsidR="00F5348D" w:rsidRPr="00F5348D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12.7%</w:t>
            </w:r>
          </w:p>
          <w:p w14:paraId="7ACE89CC" w14:textId="08EC1AD1" w:rsidR="00F5348D" w:rsidRPr="00691A51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13.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1E6F9BC0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231BEFA" w14:textId="77777777" w:rsidR="00F56ADC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989AAA2" w14:textId="77777777" w:rsidR="00F56ADC" w:rsidRDefault="00F56ADC" w:rsidP="00F56ADC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Gender Identity</w:t>
            </w:r>
          </w:p>
          <w:p w14:paraId="0163B331" w14:textId="77777777" w:rsidR="00F56ADC" w:rsidRDefault="00F56ADC" w:rsidP="00F56AD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Same as assigned at birth </w:t>
            </w:r>
          </w:p>
          <w:p w14:paraId="284AF82B" w14:textId="3ADB3560" w:rsidR="00F56ADC" w:rsidRPr="00F56ADC" w:rsidRDefault="00F56ADC" w:rsidP="00F56ADC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13.3</w:t>
            </w: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5F1F5BF7" w14:textId="77777777" w:rsidR="00F56ADC" w:rsidRDefault="00F56ADC" w:rsidP="00F56AD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Not the same as assigned at birth </w:t>
            </w:r>
          </w:p>
          <w:p w14:paraId="51180479" w14:textId="56CA4E0D" w:rsidR="00F56ADC" w:rsidRPr="00F56ADC" w:rsidRDefault="00F56ADC" w:rsidP="00F56ADC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36.4</w:t>
            </w: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6381A3F2" w14:textId="77777777" w:rsidR="00F56ADC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Prefer not to say</w:t>
            </w:r>
          </w:p>
          <w:p w14:paraId="26BE7211" w14:textId="056C1386" w:rsidR="00F56ADC" w:rsidRPr="00F56ADC" w:rsidRDefault="00F56ADC" w:rsidP="00691A51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26.4%</w:t>
            </w:r>
          </w:p>
        </w:tc>
        <w:tc>
          <w:tcPr>
            <w:tcW w:w="1768" w:type="dxa"/>
            <w:shd w:val="clear" w:color="auto" w:fill="FFFFFF" w:themeFill="background1"/>
          </w:tcPr>
          <w:p w14:paraId="605FE86E" w14:textId="3F0E682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2021</w:t>
            </w:r>
          </w:p>
          <w:p w14:paraId="5A64BD6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65C39C91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16.2%</w:t>
            </w:r>
          </w:p>
          <w:p w14:paraId="1C5A59B1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20.8%</w:t>
            </w:r>
          </w:p>
          <w:p w14:paraId="512FAE2C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13.6%</w:t>
            </w:r>
          </w:p>
          <w:p w14:paraId="1468871E" w14:textId="77777777" w:rsidR="000872FF" w:rsidRDefault="000872FF" w:rsidP="00691A51">
            <w:pPr>
              <w:tabs>
                <w:tab w:val="left" w:pos="1425"/>
              </w:tabs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A7058BA" w14:textId="7B44AB32" w:rsidR="000872FF" w:rsidRPr="00A445FD" w:rsidRDefault="000872FF" w:rsidP="00A445FD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2D39A3C7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2020</w:t>
            </w:r>
          </w:p>
          <w:p w14:paraId="174CE25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7B92C271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17.6%</w:t>
            </w:r>
          </w:p>
          <w:p w14:paraId="483A6FC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30%</w:t>
            </w:r>
          </w:p>
          <w:p w14:paraId="04DEC93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Heterosexual (straight)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15.2%</w:t>
            </w:r>
          </w:p>
          <w:p w14:paraId="33089E87" w14:textId="1EAC5FD8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71D8EA23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2019</w:t>
            </w:r>
          </w:p>
          <w:p w14:paraId="299B274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23.5%</w:t>
            </w:r>
          </w:p>
          <w:p w14:paraId="403F3559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20.9%</w:t>
            </w:r>
          </w:p>
          <w:p w14:paraId="53EE6DA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20%</w:t>
            </w:r>
          </w:p>
          <w:p w14:paraId="7CF15CB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Heterosexual (straight) 14.8%</w:t>
            </w:r>
          </w:p>
          <w:p w14:paraId="527F738F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E811813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  <w:p w14:paraId="39859D05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18%</w:t>
            </w:r>
          </w:p>
          <w:p w14:paraId="55E59611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16%</w:t>
            </w:r>
          </w:p>
          <w:p w14:paraId="63BAEE6E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17%</w:t>
            </w:r>
          </w:p>
          <w:p w14:paraId="1559CD27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15%</w:t>
            </w:r>
          </w:p>
          <w:p w14:paraId="2ECFB6B1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08AB100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41F0020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142368A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517433D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E2DF608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43DBF68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3D94454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2526DC7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A90D179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CB67B67" w14:textId="2F4A2597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34B25BDD" w14:textId="3BF24EB5" w:rsidR="000872FF" w:rsidRPr="00691A51" w:rsidRDefault="002211A7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Gay men and gay women</w:t>
            </w:r>
            <w:r w:rsidR="000872FF"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report higher levels of harassment, bullying or abuse from staff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6D54A30" w14:textId="77777777" w:rsidR="00680FBD" w:rsidRDefault="00680FBD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F8BF627" w14:textId="0BFF404E" w:rsidR="00680FBD" w:rsidRPr="00691A51" w:rsidRDefault="00680FBD" w:rsidP="00680FBD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There has been the biggest improvement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for bisexual staff results.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ACFE56B" w14:textId="77777777" w:rsidR="000872FF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FA920DF" w14:textId="002E2E8E" w:rsidR="00F56ADC" w:rsidRPr="00691A51" w:rsidRDefault="00F56ADC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Those who identified as gender not the same as assigned at birth were more likely to report experiencing h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arassment and bullying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from staff.</w:t>
            </w:r>
          </w:p>
        </w:tc>
      </w:tr>
      <w:tr w:rsidR="000872FF" w14:paraId="2245F8EC" w14:textId="77777777" w:rsidTr="00F5348D">
        <w:tc>
          <w:tcPr>
            <w:tcW w:w="639" w:type="dxa"/>
          </w:tcPr>
          <w:p w14:paraId="6A3DD4DA" w14:textId="44D8DC53" w:rsidR="000872FF" w:rsidRDefault="000872FF" w:rsidP="00691A51">
            <w:pPr>
              <w:spacing w:after="200" w:line="276" w:lineRule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254" w:type="dxa"/>
          </w:tcPr>
          <w:p w14:paraId="611BA0A3" w14:textId="4D25EA42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KF 21. Percentage believing that Trust provides equal opportunities for career progression or promotion.</w:t>
            </w:r>
          </w:p>
        </w:tc>
        <w:tc>
          <w:tcPr>
            <w:tcW w:w="1768" w:type="dxa"/>
            <w:shd w:val="clear" w:color="auto" w:fill="FFFFFF" w:themeFill="background1"/>
          </w:tcPr>
          <w:p w14:paraId="192B4298" w14:textId="77777777" w:rsidR="00F5348D" w:rsidRPr="00691A51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2BA67AFD" w14:textId="7DC858C4" w:rsidR="00F5348D" w:rsidRPr="00691A51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5.6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2CC91779" w14:textId="29375283" w:rsidR="00F5348D" w:rsidRPr="00F5348D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67.1%</w:t>
            </w:r>
          </w:p>
          <w:p w14:paraId="39965573" w14:textId="46103DAC" w:rsidR="00F5348D" w:rsidRPr="00691A51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) 6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4.1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0D51BC63" w14:textId="77777777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8099CFE" w14:textId="77777777" w:rsidR="00F56ADC" w:rsidRDefault="00F56ADC" w:rsidP="00F56ADC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Gender Identity</w:t>
            </w:r>
          </w:p>
          <w:p w14:paraId="53D8A552" w14:textId="77777777" w:rsidR="00F56ADC" w:rsidRDefault="00F56ADC" w:rsidP="00F56AD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Same as assigned at birth </w:t>
            </w:r>
          </w:p>
          <w:p w14:paraId="142ECA73" w14:textId="1E35AEEF" w:rsidR="00F56ADC" w:rsidRDefault="00F56ADC" w:rsidP="00F56AD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63.4</w:t>
            </w:r>
            <w:r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62196B54" w14:textId="77777777" w:rsidR="00F56ADC" w:rsidRDefault="00F56ADC" w:rsidP="00F56AD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Not the same as assigned at birth </w:t>
            </w:r>
          </w:p>
          <w:p w14:paraId="5C505D9B" w14:textId="77777777" w:rsidR="00F56ADC" w:rsidRDefault="00F56ADC" w:rsidP="00691A51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72.7%</w:t>
            </w:r>
          </w:p>
          <w:p w14:paraId="7DEC05A5" w14:textId="77777777" w:rsidR="00F56ADC" w:rsidRDefault="00F56AD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Prefer not to say</w:t>
            </w:r>
          </w:p>
          <w:p w14:paraId="49CBFA09" w14:textId="545F049F" w:rsidR="00F56ADC" w:rsidRPr="00562C73" w:rsidRDefault="00F56ADC" w:rsidP="00691A51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62C73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23.6%</w:t>
            </w:r>
          </w:p>
        </w:tc>
        <w:tc>
          <w:tcPr>
            <w:tcW w:w="1768" w:type="dxa"/>
            <w:shd w:val="clear" w:color="auto" w:fill="FFFFFF" w:themeFill="background1"/>
          </w:tcPr>
          <w:p w14:paraId="4298B8EC" w14:textId="732ABE1B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Gay Man or</w:t>
            </w:r>
          </w:p>
          <w:p w14:paraId="77FB127E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66.4%</w:t>
            </w:r>
          </w:p>
          <w:p w14:paraId="76016707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49.1%</w:t>
            </w:r>
          </w:p>
          <w:p w14:paraId="2EDA701B" w14:textId="77777777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) 62.3%</w:t>
            </w:r>
          </w:p>
          <w:p w14:paraId="7BEE6733" w14:textId="1731F60E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0D0B7954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0C3A43DD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324A3F8A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62.2%</w:t>
            </w:r>
          </w:p>
          <w:p w14:paraId="65746B32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56.7%</w:t>
            </w:r>
          </w:p>
          <w:p w14:paraId="3E4143BE" w14:textId="77777777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</w:t>
            </w:r>
            <w:r w:rsidRPr="00691A51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) 64.9%</w:t>
            </w:r>
          </w:p>
          <w:p w14:paraId="03FA1581" w14:textId="32FC616A" w:rsidR="000872FF" w:rsidRPr="00691A51" w:rsidRDefault="000872FF" w:rsidP="00691A51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68D09D0C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2625CB13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12EC5918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67.5%</w:t>
            </w:r>
          </w:p>
          <w:p w14:paraId="1022A23F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56.7%</w:t>
            </w:r>
          </w:p>
          <w:p w14:paraId="1BB70B07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63.8%</w:t>
            </w:r>
          </w:p>
          <w:p w14:paraId="582ED19A" w14:textId="4A17D0FB" w:rsidR="000872FF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EB90B86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72BD46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  <w:p w14:paraId="0780CDB0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 Gay Woman (Lesbian) 80.9%</w:t>
            </w:r>
          </w:p>
          <w:p w14:paraId="735F90FB" w14:textId="77777777" w:rsidR="000872FF" w:rsidRPr="00691A51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66.7%</w:t>
            </w:r>
          </w:p>
          <w:p w14:paraId="2C17A0A6" w14:textId="6CA8DD9F" w:rsidR="000872FF" w:rsidRPr="00F56ADC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69.3%</w:t>
            </w:r>
          </w:p>
        </w:tc>
        <w:tc>
          <w:tcPr>
            <w:tcW w:w="2569" w:type="dxa"/>
          </w:tcPr>
          <w:p w14:paraId="3566126B" w14:textId="77777777" w:rsidR="009358FC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The percentage of gay men and gay women has </w:t>
            </w:r>
            <w:r w:rsidR="009358F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worsened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whist bisexual </w:t>
            </w:r>
            <w:r w:rsidR="009358F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and heterosexual 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staff </w:t>
            </w:r>
            <w:r w:rsidR="009358F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has improved</w:t>
            </w:r>
            <w:r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45E36C3" w14:textId="77777777" w:rsidR="009358FC" w:rsidRDefault="009358F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394DC5E9" w14:textId="6570C1D0" w:rsidR="000872FF" w:rsidRDefault="009358FC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There has been the biggest improvement for bisexual staff results.</w:t>
            </w:r>
            <w:r w:rsidR="000872FF" w:rsidRPr="00691A51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1C82A1F" w14:textId="6704ADC4" w:rsidR="00562C73" w:rsidRDefault="00562C73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398B357C" w14:textId="0ED35911" w:rsidR="00562C73" w:rsidRPr="00691A51" w:rsidRDefault="00562C73" w:rsidP="00691A51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People who selected prefer not to say (gender identity) have the lowest scores regarding feeling the Trust offers equal opportunities to career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progression and promotion. </w:t>
            </w:r>
          </w:p>
          <w:p w14:paraId="217ACF48" w14:textId="229AC5B2" w:rsidR="000872FF" w:rsidRPr="00691A51" w:rsidRDefault="000872FF" w:rsidP="00691A51">
            <w:pPr>
              <w:rPr>
                <w:rFonts w:eastAsia="Calibr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72FF" w14:paraId="470A3D59" w14:textId="77777777" w:rsidTr="00F5348D">
        <w:tc>
          <w:tcPr>
            <w:tcW w:w="639" w:type="dxa"/>
          </w:tcPr>
          <w:p w14:paraId="2CED76D8" w14:textId="3256414D" w:rsidR="000872FF" w:rsidRDefault="000872FF" w:rsidP="00DD57FE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254" w:type="dxa"/>
          </w:tcPr>
          <w:p w14:paraId="6C82524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Q17. In the last 12 months have you personally experienced discrimination at work from any of the following?</w:t>
            </w:r>
          </w:p>
          <w:p w14:paraId="2CF51ABB" w14:textId="5E9A55D6" w:rsidR="000872FF" w:rsidRPr="00DD57FE" w:rsidRDefault="000872FF" w:rsidP="00DD57FE">
            <w:pPr>
              <w:jc w:val="cent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b) Manager/team leader or other colleagues.</w:t>
            </w:r>
          </w:p>
        </w:tc>
        <w:tc>
          <w:tcPr>
            <w:tcW w:w="1768" w:type="dxa"/>
            <w:shd w:val="clear" w:color="auto" w:fill="FFFFFF" w:themeFill="background1"/>
          </w:tcPr>
          <w:p w14:paraId="2160FEE8" w14:textId="77777777" w:rsidR="00F5348D" w:rsidRPr="00DD57FE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211FE07C" w14:textId="3AA3DD1B" w:rsidR="00F5348D" w:rsidRPr="00DD57FE" w:rsidRDefault="00F5348D" w:rsidP="00F5348D">
            <w:pPr>
              <w:shd w:val="clear" w:color="auto" w:fill="F2DBDB" w:themeFill="accent2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9.3%</w:t>
            </w:r>
          </w:p>
          <w:p w14:paraId="5EF3CA34" w14:textId="59C85726" w:rsidR="00F5348D" w:rsidRPr="00F5348D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F5348D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7%</w:t>
            </w:r>
          </w:p>
          <w:p w14:paraId="49A10438" w14:textId="5777C63D" w:rsidR="00F5348D" w:rsidRPr="00DD57FE" w:rsidRDefault="00F5348D" w:rsidP="00F5348D">
            <w:pPr>
              <w:shd w:val="clear" w:color="auto" w:fill="EAF1DD" w:themeFill="accent3" w:themeFillTint="33"/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68135FC5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A4DEA93" w14:textId="77777777" w:rsidR="00562C73" w:rsidRDefault="00562C73" w:rsidP="00562C73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Gender Identity</w:t>
            </w:r>
          </w:p>
          <w:p w14:paraId="2A2CD35C" w14:textId="77777777" w:rsidR="00562C73" w:rsidRDefault="00562C73" w:rsidP="00562C73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Same as assigned at birth </w:t>
            </w:r>
          </w:p>
          <w:p w14:paraId="14B52E9E" w14:textId="526844B6" w:rsidR="00562C73" w:rsidRDefault="00A40FCA" w:rsidP="00562C73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5.3</w:t>
            </w:r>
            <w:r w:rsidR="00562C73" w:rsidRPr="00F56ADC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05CA0DBD" w14:textId="77777777" w:rsidR="00562C73" w:rsidRDefault="00562C73" w:rsidP="00562C73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Not the same as assigned at birth </w:t>
            </w:r>
          </w:p>
          <w:p w14:paraId="337DB0D3" w14:textId="268F1C5C" w:rsidR="00562C73" w:rsidRDefault="00A40FCA" w:rsidP="00562C73">
            <w:pP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27.3</w:t>
            </w:r>
            <w:r w:rsidR="00562C73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  <w:p w14:paraId="59D24E84" w14:textId="77777777" w:rsidR="00A40FCA" w:rsidRDefault="00A40FCA" w:rsidP="00A40FCA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F56ADC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Prefer not to say</w:t>
            </w:r>
          </w:p>
          <w:p w14:paraId="17966B17" w14:textId="75F15F31" w:rsidR="00562C73" w:rsidRPr="00DD57FE" w:rsidRDefault="00A40FCA" w:rsidP="00A40FCA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 w:rsidRPr="00562C73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68" w:type="dxa"/>
            <w:shd w:val="clear" w:color="auto" w:fill="FFFFFF" w:themeFill="background1"/>
          </w:tcPr>
          <w:p w14:paraId="61DBE4DB" w14:textId="3143F839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  <w:p w14:paraId="4BE797E6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0EBB3371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6.8%</w:t>
            </w:r>
          </w:p>
          <w:p w14:paraId="3EB12435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12.7%</w:t>
            </w:r>
          </w:p>
          <w:p w14:paraId="2CC6DAE6" w14:textId="7777777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5.8%</w:t>
            </w:r>
          </w:p>
          <w:p w14:paraId="520F3EBD" w14:textId="58D74EDF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3C874A2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  <w:p w14:paraId="1C2F44D8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5C70CBB6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5.4%</w:t>
            </w:r>
          </w:p>
          <w:p w14:paraId="6E43FCA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23.3%</w:t>
            </w:r>
          </w:p>
          <w:p w14:paraId="413F7B77" w14:textId="7777777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6%</w:t>
            </w:r>
          </w:p>
          <w:p w14:paraId="2DE6CB74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3B704917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5DB0CE6C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8.8%</w:t>
            </w:r>
          </w:p>
          <w:p w14:paraId="62EBE19F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11.6%</w:t>
            </w:r>
          </w:p>
          <w:p w14:paraId="0E3B692E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6.9%</w:t>
            </w:r>
          </w:p>
          <w:p w14:paraId="183ECA14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5.1%</w:t>
            </w:r>
          </w:p>
          <w:p w14:paraId="3BDB15DE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EE2ACC1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  <w:p w14:paraId="390A506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4%</w:t>
            </w:r>
          </w:p>
          <w:p w14:paraId="5BBBC65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0%</w:t>
            </w:r>
          </w:p>
          <w:p w14:paraId="4DB54E59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17%</w:t>
            </w:r>
          </w:p>
          <w:p w14:paraId="3F8B9C8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5%</w:t>
            </w:r>
          </w:p>
          <w:p w14:paraId="0A17DF1C" w14:textId="26DBC9BE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14:paraId="0E4759F4" w14:textId="1707F738" w:rsidR="000872FF" w:rsidRDefault="009358FC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men &amp; women and b</w:t>
            </w:r>
            <w:r w:rsidR="000872FF"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isexual staff continue to be more likely to report experiencing discrimination at work. </w:t>
            </w:r>
          </w:p>
          <w:p w14:paraId="2233890D" w14:textId="77777777" w:rsidR="009358FC" w:rsidRDefault="009358FC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There has been an improvement again this year for bisexual staff results.</w:t>
            </w:r>
          </w:p>
          <w:p w14:paraId="3B07E54B" w14:textId="77777777" w:rsidR="00A40FCA" w:rsidRDefault="00A40FCA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50D6F0F7" w14:textId="001A07DA" w:rsidR="00A40FCA" w:rsidRPr="00DD57FE" w:rsidRDefault="00A40FCA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Those who identified as gender not the same as assigned at birth were much more likely to report experiencing discrimination from managers or other colleagues. </w:t>
            </w:r>
          </w:p>
        </w:tc>
      </w:tr>
      <w:tr w:rsidR="000872FF" w14:paraId="4EE66F30" w14:textId="77777777" w:rsidTr="000872FF">
        <w:tc>
          <w:tcPr>
            <w:tcW w:w="639" w:type="dxa"/>
          </w:tcPr>
          <w:p w14:paraId="2D66327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79447401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Board representation indicator:</w:t>
            </w:r>
          </w:p>
          <w:p w14:paraId="44A9B839" w14:textId="522335F6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u w:val="single"/>
                <w:lang w:eastAsia="en-US"/>
              </w:rPr>
              <w:t>For this indicator, compare the difference for LGB staff and heterosexual staff</w:t>
            </w:r>
          </w:p>
        </w:tc>
        <w:tc>
          <w:tcPr>
            <w:tcW w:w="1768" w:type="dxa"/>
          </w:tcPr>
          <w:p w14:paraId="3F4D5246" w14:textId="77777777" w:rsidR="000872FF" w:rsidRPr="003A5F50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3E0D2BC3" w14:textId="009716AB" w:rsidR="000872FF" w:rsidRPr="003A5F50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1A54B581" w14:textId="77777777" w:rsidR="000872FF" w:rsidRPr="003A5F50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3EC3CB4A" w14:textId="77777777" w:rsidR="000872FF" w:rsidRPr="003A5F50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85A9CE9" w14:textId="77777777" w:rsidR="000872FF" w:rsidRPr="003A5F50" w:rsidRDefault="000872FF" w:rsidP="00691A51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</w:tr>
      <w:tr w:rsidR="000872FF" w14:paraId="1BD58A1A" w14:textId="77777777" w:rsidTr="00155D8C">
        <w:tc>
          <w:tcPr>
            <w:tcW w:w="639" w:type="dxa"/>
          </w:tcPr>
          <w:p w14:paraId="44ACFC7C" w14:textId="07704FC4" w:rsidR="000872FF" w:rsidRDefault="000872FF" w:rsidP="00DD57FE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0872FF" w:rsidRPr="00DD57FE" w14:paraId="0A0DB9B7" w14:textId="77777777" w:rsidTr="00FC3AB3">
              <w:trPr>
                <w:trHeight w:val="236"/>
              </w:trPr>
              <w:tc>
                <w:tcPr>
                  <w:tcW w:w="2626" w:type="dxa"/>
                </w:tcPr>
                <w:p w14:paraId="533DEF2F" w14:textId="77777777" w:rsidR="000872FF" w:rsidRPr="00DD57FE" w:rsidRDefault="000872FF" w:rsidP="00DD57F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D57FE"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  <w:t>Percentage difference between (</w:t>
                  </w:r>
                  <w:proofErr w:type="spellStart"/>
                  <w:r w:rsidRPr="00DD57FE"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DD57FE"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) the organisations’ Board voting membership and its overall workforce and (ii) the organisations’ Board executive membership and </w:t>
                  </w:r>
                  <w:r w:rsidRPr="00DD57FE"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its overall workforce </w:t>
                  </w:r>
                </w:p>
              </w:tc>
            </w:tr>
            <w:tr w:rsidR="000872FF" w:rsidRPr="00DD57FE" w14:paraId="1D26280A" w14:textId="77777777" w:rsidTr="00FC3AB3">
              <w:trPr>
                <w:trHeight w:val="236"/>
              </w:trPr>
              <w:tc>
                <w:tcPr>
                  <w:tcW w:w="2626" w:type="dxa"/>
                </w:tcPr>
                <w:p w14:paraId="4B9A5A93" w14:textId="77777777" w:rsidR="000872FF" w:rsidRPr="00DD57FE" w:rsidRDefault="000872FF" w:rsidP="00DD57F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  <w:p w14:paraId="7B91A2F9" w14:textId="77777777" w:rsidR="000872FF" w:rsidRPr="00DD57FE" w:rsidRDefault="000872FF" w:rsidP="00DD57F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B5EF019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CBE35E3" w14:textId="5D05B23E" w:rsidR="00155D8C" w:rsidRPr="00DD57FE" w:rsidRDefault="00155D8C" w:rsidP="00155D8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FBA5960" w14:textId="77777777" w:rsidR="00155D8C" w:rsidRDefault="00155D8C" w:rsidP="00155D8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Percentage difference between organisations boards voting membership and its overall workforce =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     -4.2%</w:t>
            </w:r>
          </w:p>
          <w:p w14:paraId="02CBED3A" w14:textId="77777777" w:rsidR="00155D8C" w:rsidRDefault="00155D8C" w:rsidP="00155D8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1796EE3" w14:textId="77777777" w:rsidR="00155D8C" w:rsidRDefault="00155D8C" w:rsidP="00155D8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Percentage difference between organisations board executive membership and its overall workforce =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D68577B" w14:textId="0382F18D" w:rsidR="00155D8C" w:rsidRPr="00DD57FE" w:rsidRDefault="00155D8C" w:rsidP="00155D8C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-4.2%</w:t>
            </w:r>
          </w:p>
        </w:tc>
        <w:tc>
          <w:tcPr>
            <w:tcW w:w="1768" w:type="dxa"/>
            <w:shd w:val="clear" w:color="auto" w:fill="FFFFFF" w:themeFill="background1"/>
          </w:tcPr>
          <w:p w14:paraId="5BDACB97" w14:textId="145A0B18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2022</w:t>
            </w:r>
          </w:p>
          <w:p w14:paraId="73C15664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Percentage difference between organisations boards voting membership and its overall workforce =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-3.9%</w:t>
            </w:r>
          </w:p>
          <w:p w14:paraId="5B1C21CE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149AFD4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Percentage difference between organisations board executive membership and its overall workforce =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-3.9%</w:t>
            </w:r>
          </w:p>
          <w:p w14:paraId="62EB499B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42DBAC2" w14:textId="0AC360EF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7773A73B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2021</w:t>
            </w:r>
          </w:p>
          <w:p w14:paraId="2AE3802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Percentage difference between organisations boards voting membership and its overall workforce = +5%</w:t>
            </w:r>
          </w:p>
          <w:p w14:paraId="74B89D4D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9778F34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Percentage difference between organisations board executive membership and its overall workforce = +11%</w:t>
            </w:r>
          </w:p>
          <w:p w14:paraId="2ABD9E06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9628FD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76427BE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2020</w:t>
            </w:r>
          </w:p>
          <w:p w14:paraId="68557C83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Percentage difference between organisations boards voting membership and its overall workforce = +5%</w:t>
            </w:r>
          </w:p>
          <w:p w14:paraId="32969B49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6D0165C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Percentage difference between organisations board executive membership and its overall workforce = +11%</w:t>
            </w:r>
          </w:p>
          <w:p w14:paraId="07F6B545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E94D67C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  <w:p w14:paraId="4EF51249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Percentage difference between organisations boards voting membership and its overall workforce = +8%</w:t>
            </w:r>
          </w:p>
          <w:p w14:paraId="2ACB600D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7308AEB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Percentage difference between organisations board executive membership and its overall workforce = +12.5%</w:t>
            </w:r>
          </w:p>
          <w:p w14:paraId="70108E94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539FFF54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38F7395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71747126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  <w:p w14:paraId="45355CD6" w14:textId="7151FD6F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C4E3C0C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There is no one on the board who has identified as LGB.  </w:t>
            </w:r>
          </w:p>
          <w:p w14:paraId="2B3751E3" w14:textId="0354D56E" w:rsidR="000872FF" w:rsidRPr="00DD57FE" w:rsidRDefault="009358FC" w:rsidP="00DD57FE">
            <w:pPr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All</w:t>
            </w:r>
            <w:r w:rsidR="000872FF"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board members have declared their sexual orientation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, which is an improvement from last year.</w:t>
            </w:r>
          </w:p>
        </w:tc>
      </w:tr>
      <w:tr w:rsidR="000872FF" w14:paraId="60D1D8AC" w14:textId="77777777" w:rsidTr="00155D8C">
        <w:tc>
          <w:tcPr>
            <w:tcW w:w="639" w:type="dxa"/>
          </w:tcPr>
          <w:p w14:paraId="5D1EDD6C" w14:textId="41EA5B2D" w:rsidR="000872FF" w:rsidRPr="003A5F50" w:rsidRDefault="000872FF" w:rsidP="00DD57FE">
            <w:pPr>
              <w:spacing w:after="200" w:line="276" w:lineRule="auto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54" w:type="dxa"/>
          </w:tcPr>
          <w:p w14:paraId="479DB45F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The staff engagement score on the National Staff Survey for LGB staff, compared to </w:t>
            </w: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heterosexual staff and the overall engagement score for the organisation. (</w:t>
            </w:r>
            <w:proofErr w:type="gramStart"/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out</w:t>
            </w:r>
            <w:proofErr w:type="gramEnd"/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 of 10) </w:t>
            </w:r>
          </w:p>
          <w:p w14:paraId="042156E0" w14:textId="7777777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6B738EC7" w14:textId="77777777" w:rsidR="00155D8C" w:rsidRPr="00DD57FE" w:rsidRDefault="00155D8C" w:rsidP="00155D8C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Gay Man or</w:t>
            </w:r>
          </w:p>
          <w:p w14:paraId="4B3955B0" w14:textId="28674CFA" w:rsidR="00155D8C" w:rsidRPr="00DD57FE" w:rsidRDefault="00155D8C" w:rsidP="00155D8C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  <w:p w14:paraId="71992244" w14:textId="5AF04D81" w:rsidR="00155D8C" w:rsidRPr="00DD57FE" w:rsidRDefault="00155D8C" w:rsidP="00155D8C">
            <w:pPr>
              <w:shd w:val="clear" w:color="auto" w:fill="EAF1DD" w:themeFill="accent3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  <w:p w14:paraId="1AC48909" w14:textId="77777777" w:rsidR="00155D8C" w:rsidRPr="00DD57FE" w:rsidRDefault="00155D8C" w:rsidP="00155D8C">
            <w:pPr>
              <w:shd w:val="clear" w:color="auto" w:fill="FDE9D9" w:themeFill="accent6" w:themeFillTint="33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6.9</w:t>
            </w:r>
          </w:p>
          <w:p w14:paraId="0E1DF93E" w14:textId="77777777" w:rsidR="000872FF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5A55733" w14:textId="4D2B385C" w:rsidR="00155D8C" w:rsidRPr="00155D8C" w:rsidRDefault="00155D8C" w:rsidP="00155D8C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81D7C74" w14:textId="06F0F9A1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2021</w:t>
            </w:r>
          </w:p>
          <w:p w14:paraId="6E3C1CBE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1327A47B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6.5</w:t>
            </w:r>
          </w:p>
          <w:p w14:paraId="72DDB51C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6.4</w:t>
            </w:r>
          </w:p>
          <w:p w14:paraId="3E79D661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6.9</w:t>
            </w:r>
          </w:p>
          <w:p w14:paraId="0E0E77C4" w14:textId="7777777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63220D98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2020</w:t>
            </w:r>
          </w:p>
          <w:p w14:paraId="2C706F9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or</w:t>
            </w:r>
          </w:p>
          <w:p w14:paraId="7074BE0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Gay Woman (Lesbian)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  <w:p w14:paraId="49AA0C45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 xml:space="preserve">Bisexual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6.7</w:t>
            </w:r>
          </w:p>
          <w:p w14:paraId="1BA5A017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Heterosexual (straight) </w:t>
            </w:r>
            <w:r w:rsidRPr="00DD57FE"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  <w:t>7.2</w:t>
            </w:r>
          </w:p>
          <w:p w14:paraId="5C154A02" w14:textId="4AFA13A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</w:tcPr>
          <w:p w14:paraId="3BFB50D9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2019</w:t>
            </w:r>
          </w:p>
          <w:p w14:paraId="33595B0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7</w:t>
            </w:r>
          </w:p>
          <w:p w14:paraId="0606700B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7.2</w:t>
            </w:r>
          </w:p>
          <w:p w14:paraId="40050E91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7.5</w:t>
            </w:r>
          </w:p>
          <w:p w14:paraId="1D0CAFD6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Heterosexual (straight) 7.1</w:t>
            </w:r>
          </w:p>
          <w:p w14:paraId="0AC27272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0AD40C0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  <w:p w14:paraId="7199EE92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Man 7.3</w:t>
            </w:r>
          </w:p>
          <w:p w14:paraId="39625BAA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Gay Woman (Lesbian) 7.7</w:t>
            </w:r>
          </w:p>
          <w:p w14:paraId="0D634FB8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Bisexual 7</w:t>
            </w:r>
          </w:p>
          <w:p w14:paraId="35F5F9D8" w14:textId="77777777" w:rsidR="000872FF" w:rsidRPr="00DD57FE" w:rsidRDefault="000872FF" w:rsidP="00DD57FE">
            <w:pP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Heterosexual (straight) 7.3</w:t>
            </w:r>
          </w:p>
          <w:p w14:paraId="37C50438" w14:textId="77777777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</w:tcPr>
          <w:p w14:paraId="1C3FBBDA" w14:textId="47BE80AC" w:rsidR="000872FF" w:rsidRPr="00DD57FE" w:rsidRDefault="000872FF" w:rsidP="00DD57FE">
            <w:pPr>
              <w:rPr>
                <w:rFonts w:eastAsia="Calibr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LG staff have lower engagement scores than heterosexual staff, engagement scores have decreased for </w:t>
            </w:r>
            <w:r w:rsidRPr="00DD57FE"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LGB and heterosexual staff.</w:t>
            </w:r>
          </w:p>
        </w:tc>
      </w:tr>
    </w:tbl>
    <w:p w14:paraId="713C12B9" w14:textId="28A743C9" w:rsidR="00DD57FE" w:rsidRDefault="00DD57FE">
      <w:pPr>
        <w:spacing w:after="200" w:line="276" w:lineRule="auto"/>
      </w:pPr>
    </w:p>
    <w:p w14:paraId="4DC77C9D" w14:textId="5E5202A1" w:rsidR="00A63EE7" w:rsidRPr="00F10C61" w:rsidRDefault="008B1310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F10C6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D1F9" wp14:editId="36599FAC">
                <wp:simplePos x="0" y="0"/>
                <wp:positionH relativeFrom="column">
                  <wp:posOffset>4895215</wp:posOffset>
                </wp:positionH>
                <wp:positionV relativeFrom="paragraph">
                  <wp:posOffset>262890</wp:posOffset>
                </wp:positionV>
                <wp:extent cx="49403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F9D92" w14:textId="144D622A" w:rsidR="00A63EE7" w:rsidRDefault="00A63EE7" w:rsidP="00A63EE7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EE0F76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STAFF </w:t>
                            </w:r>
                            <w:r w:rsidR="008B1310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BREAKDOWN </w:t>
                            </w:r>
                            <w:r w:rsidR="00DD57FE">
                              <w:rPr>
                                <w:rFonts w:eastAsia="Calibri" w:cs="Arial"/>
                                <w:b/>
                                <w:szCs w:val="24"/>
                                <w:u w:val="single"/>
                                <w:lang w:eastAsia="en-US"/>
                              </w:rPr>
                              <w:t>SEXUAL ORIENTATION</w:t>
                            </w:r>
                            <w:r w:rsidR="00DD57FE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31</w:t>
                            </w:r>
                            <w:r w:rsidRPr="00A53989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March 202</w:t>
                            </w:r>
                            <w:r w:rsidR="000872FF">
                              <w:rPr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95CA65B" w14:textId="77777777" w:rsidR="00A63EE7" w:rsidRDefault="00A63EE7" w:rsidP="00A6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D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5.45pt;margin-top:20.7pt;width:38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" filled="f" stroked="f" strokeweight=".5pt">
                <v:textbox>
                  <w:txbxContent>
                    <w:p w14:paraId="104F9D92" w14:textId="144D622A" w:rsidR="00A63EE7" w:rsidRDefault="00A63EE7" w:rsidP="00A63EE7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EE0F76">
                        <w:rPr>
                          <w:b/>
                          <w:szCs w:val="24"/>
                          <w:u w:val="single"/>
                        </w:rPr>
                        <w:t xml:space="preserve">STAFF </w:t>
                      </w:r>
                      <w:r w:rsidR="008B1310">
                        <w:rPr>
                          <w:b/>
                          <w:szCs w:val="24"/>
                          <w:u w:val="single"/>
                        </w:rPr>
                        <w:t xml:space="preserve">BREAKDOWN </w:t>
                      </w:r>
                      <w:r w:rsidR="00DD57FE">
                        <w:rPr>
                          <w:rFonts w:eastAsia="Calibri" w:cs="Arial"/>
                          <w:b/>
                          <w:szCs w:val="24"/>
                          <w:u w:val="single"/>
                          <w:lang w:eastAsia="en-US"/>
                        </w:rPr>
                        <w:t>SEXUAL ORIENTATION</w:t>
                      </w:r>
                      <w:r w:rsidR="00DD57FE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>31</w:t>
                      </w:r>
                      <w:r w:rsidRPr="00A53989">
                        <w:rPr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March 202</w:t>
                      </w:r>
                      <w:r w:rsidR="000872FF">
                        <w:rPr>
                          <w:b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95CA65B" w14:textId="77777777" w:rsidR="00A63EE7" w:rsidRDefault="00A63EE7" w:rsidP="00A63EE7"/>
                  </w:txbxContent>
                </v:textbox>
              </v:shape>
            </w:pict>
          </mc:Fallback>
        </mc:AlternateContent>
      </w:r>
      <w:r w:rsidR="00A63EE7" w:rsidRPr="00F10C61">
        <w:rPr>
          <w:rFonts w:eastAsia="Calibri" w:cs="Arial"/>
          <w:b/>
          <w:szCs w:val="24"/>
          <w:u w:val="single"/>
          <w:lang w:eastAsia="en-US"/>
        </w:rPr>
        <w:t>APPENDIX 1</w:t>
      </w:r>
    </w:p>
    <w:p w14:paraId="7904671A" w14:textId="444FDB38" w:rsidR="00A63EE7" w:rsidRPr="00C97267" w:rsidRDefault="00A63EE7" w:rsidP="00A63EE7">
      <w:pPr>
        <w:spacing w:after="200"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C97267">
        <w:rPr>
          <w:rFonts w:eastAsia="Calibri" w:cs="Arial"/>
          <w:b/>
          <w:szCs w:val="24"/>
          <w:u w:val="single"/>
          <w:lang w:eastAsia="en-US"/>
        </w:rPr>
        <w:t xml:space="preserve">STAFF BREAKDOWN </w:t>
      </w:r>
      <w:r w:rsidR="00DD57FE">
        <w:rPr>
          <w:rFonts w:eastAsia="Calibri" w:cs="Arial"/>
          <w:b/>
          <w:szCs w:val="24"/>
          <w:u w:val="single"/>
          <w:lang w:eastAsia="en-US"/>
        </w:rPr>
        <w:t>SEXUAL ORIENTATION</w:t>
      </w:r>
      <w:r w:rsidRPr="00C97267">
        <w:rPr>
          <w:rFonts w:eastAsia="Calibri" w:cs="Arial"/>
          <w:b/>
          <w:szCs w:val="24"/>
          <w:u w:val="single"/>
          <w:lang w:eastAsia="en-US"/>
        </w:rPr>
        <w:t xml:space="preserve"> 31</w:t>
      </w:r>
      <w:r w:rsidRPr="00C97267">
        <w:rPr>
          <w:rFonts w:eastAsia="Calibri" w:cs="Arial"/>
          <w:b/>
          <w:szCs w:val="24"/>
          <w:u w:val="single"/>
          <w:vertAlign w:val="superscript"/>
          <w:lang w:eastAsia="en-US"/>
        </w:rPr>
        <w:t>st</w:t>
      </w:r>
      <w:r>
        <w:rPr>
          <w:rFonts w:eastAsia="Calibri" w:cs="Arial"/>
          <w:b/>
          <w:szCs w:val="24"/>
          <w:u w:val="single"/>
          <w:lang w:eastAsia="en-US"/>
        </w:rPr>
        <w:t xml:space="preserve"> March 202</w:t>
      </w:r>
      <w:r w:rsidR="000872FF">
        <w:rPr>
          <w:rFonts w:eastAsia="Calibri" w:cs="Arial"/>
          <w:b/>
          <w:szCs w:val="24"/>
          <w:u w:val="single"/>
          <w:lang w:eastAsia="en-US"/>
        </w:rPr>
        <w:t>3</w:t>
      </w:r>
    </w:p>
    <w:tbl>
      <w:tblPr>
        <w:tblStyle w:val="TableGrid"/>
        <w:tblpPr w:leftFromText="180" w:rightFromText="180" w:vertAnchor="text" w:horzAnchor="page" w:tblpX="9121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1696"/>
        <w:gridCol w:w="1701"/>
      </w:tblGrid>
      <w:tr w:rsidR="000872FF" w:rsidRPr="00C06EF4" w14:paraId="419EEEA8" w14:textId="77777777" w:rsidTr="000872FF">
        <w:trPr>
          <w:trHeight w:val="231"/>
        </w:trPr>
        <w:tc>
          <w:tcPr>
            <w:tcW w:w="1134" w:type="dxa"/>
            <w:shd w:val="clear" w:color="auto" w:fill="DDD9C3" w:themeFill="background2" w:themeFillShade="E6"/>
          </w:tcPr>
          <w:p w14:paraId="72550F1D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gridSpan w:val="3"/>
            <w:shd w:val="clear" w:color="auto" w:fill="DDD9C3" w:themeFill="background2" w:themeFillShade="E6"/>
          </w:tcPr>
          <w:p w14:paraId="4431B2A3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0872FF" w:rsidRPr="00C06EF4" w14:paraId="2F4309F6" w14:textId="77777777" w:rsidTr="000872FF">
        <w:trPr>
          <w:trHeight w:val="231"/>
        </w:trPr>
        <w:tc>
          <w:tcPr>
            <w:tcW w:w="1134" w:type="dxa"/>
            <w:shd w:val="clear" w:color="auto" w:fill="F2F2F2" w:themeFill="background1" w:themeFillShade="F2"/>
          </w:tcPr>
          <w:p w14:paraId="09367BE6" w14:textId="77777777" w:rsidR="000872FF" w:rsidRPr="00C06EF4" w:rsidRDefault="000872FF" w:rsidP="000872FF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3BEA5E" w14:textId="77777777" w:rsidR="000872FF" w:rsidRPr="00DD57FE" w:rsidRDefault="000872FF" w:rsidP="000872FF">
            <w:pPr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Heterosexual</w:t>
            </w: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79ADA63" w14:textId="77777777" w:rsidR="000872FF" w:rsidRPr="00DD57FE" w:rsidRDefault="000872FF" w:rsidP="000872FF">
            <w:pPr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LGB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B8D152" w14:textId="77777777" w:rsidR="000872FF" w:rsidRPr="00DD57FE" w:rsidRDefault="000872FF" w:rsidP="000872FF">
            <w:pPr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Not Declared</w:t>
            </w:r>
          </w:p>
        </w:tc>
      </w:tr>
      <w:tr w:rsidR="000872FF" w:rsidRPr="00C06EF4" w14:paraId="61895361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39E1EDAC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67A804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84%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(1516)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2A574B3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(86)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7AC94C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11%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(193)</w:t>
            </w:r>
          </w:p>
        </w:tc>
      </w:tr>
      <w:tr w:rsidR="000872FF" w:rsidRPr="00C06EF4" w14:paraId="2BF54817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6C50AA38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9F1B74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88%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(2844)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BED2DC0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4%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(144)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00D4E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(294)</w:t>
            </w:r>
          </w:p>
        </w:tc>
      </w:tr>
      <w:tr w:rsidR="000872FF" w:rsidRPr="00C06EF4" w14:paraId="32C3B59F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BDB5279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F7EE09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(283)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D738F55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(17)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4E9556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(30)</w:t>
            </w:r>
          </w:p>
        </w:tc>
      </w:tr>
      <w:tr w:rsidR="000872FF" w:rsidRPr="00C06EF4" w14:paraId="4358D90B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91B6324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B70F67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86%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(96)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BD6CC84" w14:textId="77777777" w:rsidR="000872FF" w:rsidRPr="00DD57FE" w:rsidRDefault="000872FF" w:rsidP="000872FF">
            <w:pPr>
              <w:tabs>
                <w:tab w:val="left" w:pos="810"/>
              </w:tabs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(5)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70C596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(10)</w:t>
            </w:r>
          </w:p>
        </w:tc>
      </w:tr>
      <w:tr w:rsidR="000872FF" w:rsidRPr="00C06EF4" w14:paraId="1255D41E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28B54C3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3F878A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100%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E3FBD01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42C393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0872FF" w:rsidRPr="00C06EF4" w14:paraId="00D59745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01B7442A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EBEBAC0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(15)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60F3A23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3607CA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(5)</w:t>
            </w:r>
          </w:p>
        </w:tc>
      </w:tr>
      <w:tr w:rsidR="000872FF" w:rsidRPr="00C06EF4" w14:paraId="4A1436BF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1D18DF1A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33A24A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61%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(161)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DE5DEE9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4%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A59A0F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35%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(91)</w:t>
            </w:r>
          </w:p>
        </w:tc>
      </w:tr>
      <w:tr w:rsidR="000872FF" w:rsidRPr="00C06EF4" w14:paraId="1E8D638B" w14:textId="77777777" w:rsidTr="000872FF">
        <w:trPr>
          <w:trHeight w:val="229"/>
        </w:trPr>
        <w:tc>
          <w:tcPr>
            <w:tcW w:w="1134" w:type="dxa"/>
            <w:shd w:val="clear" w:color="auto" w:fill="DDD9C3" w:themeFill="background2" w:themeFillShade="E6"/>
          </w:tcPr>
          <w:p w14:paraId="04851CA0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0" w:type="dxa"/>
            <w:gridSpan w:val="3"/>
            <w:shd w:val="clear" w:color="auto" w:fill="DDD9C3" w:themeFill="background2" w:themeFillShade="E6"/>
          </w:tcPr>
          <w:p w14:paraId="01A7D46F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0872FF" w:rsidRPr="00C06EF4" w14:paraId="08B0B4C1" w14:textId="77777777" w:rsidTr="000872FF">
        <w:trPr>
          <w:trHeight w:val="229"/>
        </w:trPr>
        <w:tc>
          <w:tcPr>
            <w:tcW w:w="1134" w:type="dxa"/>
          </w:tcPr>
          <w:p w14:paraId="31308E56" w14:textId="77777777" w:rsidR="000872FF" w:rsidRPr="00C06EF4" w:rsidRDefault="000872FF" w:rsidP="000872FF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843" w:type="dxa"/>
          </w:tcPr>
          <w:p w14:paraId="2ED1391F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Heterosexual</w:t>
            </w: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696" w:type="dxa"/>
          </w:tcPr>
          <w:p w14:paraId="2B891B1D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LGB</w:t>
            </w:r>
          </w:p>
        </w:tc>
        <w:tc>
          <w:tcPr>
            <w:tcW w:w="1701" w:type="dxa"/>
          </w:tcPr>
          <w:p w14:paraId="45E1F63F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Not Declared</w:t>
            </w:r>
          </w:p>
        </w:tc>
      </w:tr>
      <w:tr w:rsidR="000872FF" w:rsidRPr="00C06EF4" w14:paraId="5C4FB1E3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E131472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044C6E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86%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(1182)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8F4EAE8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E4A30C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12%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(169)</w:t>
            </w:r>
          </w:p>
        </w:tc>
      </w:tr>
      <w:tr w:rsidR="000872FF" w:rsidRPr="00C06EF4" w14:paraId="3CCA8B30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86849F2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E9CC1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91%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(336)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B485079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4406E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(24)</w:t>
            </w:r>
          </w:p>
        </w:tc>
      </w:tr>
      <w:tr w:rsidR="000872FF" w:rsidRPr="00C06EF4" w14:paraId="1CC52521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414A8927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7C7967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90%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(82)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94A5543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3B5B3F1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(7)</w:t>
            </w:r>
          </w:p>
        </w:tc>
      </w:tr>
      <w:tr w:rsidR="000872FF" w:rsidRPr="00C06EF4" w14:paraId="2D0A0637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522E3123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11FF6D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(18)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24E4C62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D52C1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25%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(6)</w:t>
            </w:r>
          </w:p>
        </w:tc>
      </w:tr>
      <w:tr w:rsidR="000872FF" w:rsidRPr="00C06EF4" w14:paraId="4741B7EB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749D2FDD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4220DA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CF336DD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98CBD2A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0872FF" w:rsidRPr="00C06EF4" w14:paraId="6062C1D7" w14:textId="77777777" w:rsidTr="000872FF">
        <w:trPr>
          <w:trHeight w:val="229"/>
        </w:trPr>
        <w:tc>
          <w:tcPr>
            <w:tcW w:w="1134" w:type="dxa"/>
            <w:shd w:val="clear" w:color="auto" w:fill="F2F2F2" w:themeFill="background1" w:themeFillShade="F2"/>
          </w:tcPr>
          <w:p w14:paraId="3F398D09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E463DE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5DD80E11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A09AE3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598"/>
        <w:gridCol w:w="1994"/>
        <w:gridCol w:w="1701"/>
      </w:tblGrid>
      <w:tr w:rsidR="000872FF" w:rsidRPr="00C06EF4" w14:paraId="267A87F0" w14:textId="77777777" w:rsidTr="000872FF">
        <w:trPr>
          <w:trHeight w:val="231"/>
        </w:trPr>
        <w:tc>
          <w:tcPr>
            <w:tcW w:w="1129" w:type="dxa"/>
            <w:shd w:val="clear" w:color="auto" w:fill="DDD9C3" w:themeFill="background2" w:themeFillShade="E6"/>
          </w:tcPr>
          <w:p w14:paraId="1D78493F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93" w:type="dxa"/>
            <w:gridSpan w:val="3"/>
            <w:shd w:val="clear" w:color="auto" w:fill="DDD9C3" w:themeFill="background2" w:themeFillShade="E6"/>
          </w:tcPr>
          <w:p w14:paraId="2A9EBB0C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Clinical Staff %</w:t>
            </w:r>
          </w:p>
        </w:tc>
      </w:tr>
      <w:tr w:rsidR="000872FF" w:rsidRPr="00C06EF4" w14:paraId="4F5F46EE" w14:textId="77777777" w:rsidTr="00FD0F20">
        <w:trPr>
          <w:trHeight w:val="231"/>
        </w:trPr>
        <w:tc>
          <w:tcPr>
            <w:tcW w:w="1129" w:type="dxa"/>
            <w:shd w:val="clear" w:color="auto" w:fill="EAF1DD" w:themeFill="accent3" w:themeFillTint="33"/>
          </w:tcPr>
          <w:p w14:paraId="45BDCE17" w14:textId="77777777" w:rsidR="000872FF" w:rsidRPr="00C06EF4" w:rsidRDefault="000872FF" w:rsidP="000872FF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1D982246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Heterosexu</w:t>
            </w:r>
            <w:r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al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06789B4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LGB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F1ABA06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Not Declared</w:t>
            </w:r>
          </w:p>
        </w:tc>
      </w:tr>
      <w:tr w:rsidR="000872FF" w:rsidRPr="00C06EF4" w14:paraId="021DE17C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1530EEA2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113F6BFC" w14:textId="416FDE61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83%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(1569)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491E5FB0" w14:textId="59581672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(99)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D49C52C" w14:textId="610DD716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(224)</w:t>
            </w:r>
          </w:p>
        </w:tc>
      </w:tr>
      <w:tr w:rsidR="000872FF" w:rsidRPr="00C06EF4" w14:paraId="4050356A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4F6003E0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31817A33" w14:textId="0452D95C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(2952)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4F39CE7E" w14:textId="3C0D2D5E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(156)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7B39B0D" w14:textId="02B40192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(249)</w:t>
            </w:r>
          </w:p>
        </w:tc>
      </w:tr>
      <w:tr w:rsidR="000872FF" w:rsidRPr="00C06EF4" w14:paraId="197643EA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601DE85E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6683536" w14:textId="5C985620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(309)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16CE5B5F" w14:textId="73A21174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(18)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593FDA5" w14:textId="776D09FB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(25)</w:t>
            </w:r>
          </w:p>
        </w:tc>
      </w:tr>
      <w:tr w:rsidR="000872FF" w:rsidRPr="00C06EF4" w14:paraId="646FFC2C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6918187C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5C703AE4" w14:textId="3688C19C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(92)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5890219B" w14:textId="0EE167DF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3%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C661CEA" w14:textId="2442949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(13)</w:t>
            </w:r>
          </w:p>
        </w:tc>
      </w:tr>
      <w:tr w:rsidR="000872FF" w:rsidRPr="00C06EF4" w14:paraId="1C316D35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372A028B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61B0712D" w14:textId="292768B6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100%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(5)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48F2ADA7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0FCC57F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</w:tr>
      <w:tr w:rsidR="000872FF" w:rsidRPr="00C06EF4" w14:paraId="20BFBE87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2F375C74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9E28B94" w14:textId="2BFF286C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75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0311AAE0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7D4FB76" w14:textId="28D53E55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(1)</w:t>
            </w:r>
          </w:p>
        </w:tc>
      </w:tr>
      <w:tr w:rsidR="000872FF" w:rsidRPr="00C06EF4" w14:paraId="694A6C3A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76FD17A8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Medics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66818755" w14:textId="61414D6B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(166)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1231B919" w14:textId="125F0EE1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896B92B" w14:textId="3A66D4E8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(81)</w:t>
            </w:r>
          </w:p>
        </w:tc>
      </w:tr>
      <w:tr w:rsidR="000872FF" w:rsidRPr="00C06EF4" w14:paraId="07C35729" w14:textId="77777777" w:rsidTr="000872FF">
        <w:trPr>
          <w:trHeight w:val="229"/>
        </w:trPr>
        <w:tc>
          <w:tcPr>
            <w:tcW w:w="1129" w:type="dxa"/>
            <w:shd w:val="clear" w:color="auto" w:fill="DDD9C3" w:themeFill="background2" w:themeFillShade="E6"/>
          </w:tcPr>
          <w:p w14:paraId="6726E374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93" w:type="dxa"/>
            <w:gridSpan w:val="3"/>
            <w:shd w:val="clear" w:color="auto" w:fill="DDD9C3" w:themeFill="background2" w:themeFillShade="E6"/>
          </w:tcPr>
          <w:p w14:paraId="59F0D90B" w14:textId="77777777" w:rsidR="000872FF" w:rsidRPr="00C06EF4" w:rsidRDefault="000872FF" w:rsidP="000872FF">
            <w:pPr>
              <w:jc w:val="center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Non-clinical staff %</w:t>
            </w:r>
          </w:p>
        </w:tc>
      </w:tr>
      <w:tr w:rsidR="000872FF" w:rsidRPr="00C06EF4" w14:paraId="4357A12B" w14:textId="77777777" w:rsidTr="000872FF">
        <w:trPr>
          <w:trHeight w:val="229"/>
        </w:trPr>
        <w:tc>
          <w:tcPr>
            <w:tcW w:w="1129" w:type="dxa"/>
          </w:tcPr>
          <w:p w14:paraId="6BF38367" w14:textId="77777777" w:rsidR="000872FF" w:rsidRPr="00C06EF4" w:rsidRDefault="000872FF" w:rsidP="000872FF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Band</w:t>
            </w:r>
          </w:p>
        </w:tc>
        <w:tc>
          <w:tcPr>
            <w:tcW w:w="1598" w:type="dxa"/>
          </w:tcPr>
          <w:p w14:paraId="7804F981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Heterosexual</w:t>
            </w:r>
          </w:p>
        </w:tc>
        <w:tc>
          <w:tcPr>
            <w:tcW w:w="1994" w:type="dxa"/>
          </w:tcPr>
          <w:p w14:paraId="71E4CA10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LGB</w:t>
            </w:r>
          </w:p>
        </w:tc>
        <w:tc>
          <w:tcPr>
            <w:tcW w:w="1701" w:type="dxa"/>
          </w:tcPr>
          <w:p w14:paraId="7128BFEB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b/>
                <w:color w:val="000000" w:themeColor="text1"/>
                <w:sz w:val="22"/>
                <w:szCs w:val="22"/>
                <w:lang w:eastAsia="en-US"/>
              </w:rPr>
              <w:t>Not Declared</w:t>
            </w:r>
          </w:p>
        </w:tc>
      </w:tr>
      <w:tr w:rsidR="000872FF" w:rsidRPr="00C06EF4" w14:paraId="57AEBA2D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13CEBFC5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D9FB78A" w14:textId="183AF93B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(1200)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3511434" w14:textId="037E3105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80FE76" w14:textId="228F4EC9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(170)</w:t>
            </w:r>
          </w:p>
        </w:tc>
      </w:tr>
      <w:tr w:rsidR="000872FF" w:rsidRPr="00C06EF4" w14:paraId="60966205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65292ADC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75E23F1" w14:textId="1FC53EBA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90% (345)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195D593" w14:textId="27986EAC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3% (11)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C2F6084" w14:textId="21F836C5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(29)</w:t>
            </w:r>
          </w:p>
        </w:tc>
      </w:tr>
      <w:tr w:rsidR="000872FF" w:rsidRPr="00C06EF4" w14:paraId="299E619C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043B5142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8ab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2A8F29E" w14:textId="2031DCCA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90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(93)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56708697" w14:textId="018390BD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5E83DFA" w14:textId="5688C752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(8)</w:t>
            </w:r>
          </w:p>
        </w:tc>
      </w:tr>
      <w:tr w:rsidR="000872FF" w:rsidRPr="00C06EF4" w14:paraId="180ECD7F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3C136395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8cd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4EE010A9" w14:textId="3B7E42E1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90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(27)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04EC12D1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F9A9338" w14:textId="7EFEE551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940E4B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(3)</w:t>
            </w:r>
          </w:p>
        </w:tc>
      </w:tr>
      <w:tr w:rsidR="000872FF" w:rsidRPr="00C06EF4" w14:paraId="46B7B87F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0AEE483F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72565AD2" w14:textId="47724EBA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50% (1)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75E7247F" w14:textId="1B6E8256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50% (1)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F6FFFDE" w14:textId="77777777" w:rsidR="000872FF" w:rsidRPr="00DD57FE" w:rsidRDefault="000872FF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0872FF" w:rsidRPr="00C06EF4" w14:paraId="179884F5" w14:textId="77777777" w:rsidTr="00FD0F20">
        <w:trPr>
          <w:trHeight w:val="229"/>
        </w:trPr>
        <w:tc>
          <w:tcPr>
            <w:tcW w:w="1129" w:type="dxa"/>
            <w:shd w:val="clear" w:color="auto" w:fill="EAF1DD" w:themeFill="accent3" w:themeFillTint="33"/>
          </w:tcPr>
          <w:p w14:paraId="112DB99B" w14:textId="77777777" w:rsidR="000872FF" w:rsidRPr="00C06EF4" w:rsidRDefault="000872FF" w:rsidP="000872FF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06EF4">
              <w:rPr>
                <w:rFonts w:eastAsiaTheme="minorHAnsi" w:cs="Arial"/>
                <w:b/>
                <w:sz w:val="22"/>
                <w:szCs w:val="22"/>
                <w:lang w:eastAsia="en-US"/>
              </w:rPr>
              <w:t>VSM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22361E24" w14:textId="61E09FA6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71</w:t>
            </w:r>
            <w:r w:rsidR="000872FF" w:rsidRPr="00DD57FE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 xml:space="preserve"> (12</w:t>
            </w:r>
          </w:p>
        </w:tc>
        <w:tc>
          <w:tcPr>
            <w:tcW w:w="1994" w:type="dxa"/>
            <w:shd w:val="clear" w:color="auto" w:fill="EAF1DD" w:themeFill="accent3" w:themeFillTint="33"/>
          </w:tcPr>
          <w:p w14:paraId="112F12B6" w14:textId="64E0B4DC" w:rsidR="000872FF" w:rsidRPr="00DD57FE" w:rsidRDefault="00940E4B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6% (1)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5ED9C78" w14:textId="0E278967" w:rsidR="000872FF" w:rsidRPr="00DD57FE" w:rsidRDefault="00FD0F20" w:rsidP="000872FF">
            <w:pP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24% (4)</w:t>
            </w:r>
          </w:p>
        </w:tc>
      </w:tr>
    </w:tbl>
    <w:p w14:paraId="38F44901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15144A03" w14:textId="77777777" w:rsidR="000872FF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</w:t>
      </w:r>
    </w:p>
    <w:p w14:paraId="4CEC959E" w14:textId="00B75A6A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           </w:t>
      </w:r>
    </w:p>
    <w:p w14:paraId="0BE9730C" w14:textId="77777777" w:rsidR="008B1310" w:rsidRDefault="008B1310" w:rsidP="00A63EE7">
      <w:pPr>
        <w:tabs>
          <w:tab w:val="left" w:pos="1635"/>
        </w:tabs>
        <w:rPr>
          <w:b/>
          <w:szCs w:val="24"/>
          <w:u w:val="single"/>
        </w:rPr>
      </w:pPr>
    </w:p>
    <w:p w14:paraId="15A8C67F" w14:textId="77777777" w:rsidR="008B1310" w:rsidRPr="008B1310" w:rsidRDefault="008B1310" w:rsidP="008B1310">
      <w:pPr>
        <w:rPr>
          <w:szCs w:val="24"/>
        </w:rPr>
      </w:pPr>
    </w:p>
    <w:p w14:paraId="01178621" w14:textId="5C1A6EC6" w:rsidR="00A63EE7" w:rsidRDefault="00A63EE7" w:rsidP="008B1310">
      <w:pPr>
        <w:tabs>
          <w:tab w:val="center" w:pos="85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br w:type="textWrapping" w:clear="all"/>
      </w:r>
    </w:p>
    <w:p w14:paraId="7E814F44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41CAD525" w14:textId="77777777" w:rsidR="00A63EE7" w:rsidRDefault="00A63EE7" w:rsidP="00A63EE7">
      <w:pPr>
        <w:tabs>
          <w:tab w:val="left" w:pos="1635"/>
        </w:tabs>
        <w:rPr>
          <w:b/>
          <w:szCs w:val="24"/>
          <w:u w:val="single"/>
        </w:rPr>
      </w:pPr>
    </w:p>
    <w:p w14:paraId="560C381F" w14:textId="45BF65B0" w:rsidR="009F17E1" w:rsidRDefault="009F17E1" w:rsidP="003A5F50">
      <w:pPr>
        <w:spacing w:after="200" w:line="276" w:lineRule="auto"/>
      </w:pPr>
    </w:p>
    <w:sectPr w:rsidR="009F17E1" w:rsidSect="00691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851" w:bottom="142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6EA2" w14:textId="77777777" w:rsidR="0097071E" w:rsidRDefault="0097071E" w:rsidP="009F17E1">
      <w:r>
        <w:separator/>
      </w:r>
    </w:p>
  </w:endnote>
  <w:endnote w:type="continuationSeparator" w:id="0">
    <w:p w14:paraId="5F16EB4B" w14:textId="77777777" w:rsidR="0097071E" w:rsidRDefault="0097071E" w:rsidP="009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074" w14:textId="77777777" w:rsidR="00D81FA2" w:rsidRDefault="00D8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359D" w14:textId="77777777" w:rsidR="00D81FA2" w:rsidRDefault="00D81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F1FD" w14:textId="77777777" w:rsidR="00D81FA2" w:rsidRDefault="00D8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91E9" w14:textId="77777777" w:rsidR="0097071E" w:rsidRDefault="0097071E" w:rsidP="009F17E1">
      <w:r>
        <w:separator/>
      </w:r>
    </w:p>
  </w:footnote>
  <w:footnote w:type="continuationSeparator" w:id="0">
    <w:p w14:paraId="67FD8DB2" w14:textId="77777777" w:rsidR="0097071E" w:rsidRDefault="0097071E" w:rsidP="009F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45C" w14:textId="77777777" w:rsidR="00D81FA2" w:rsidRDefault="00D8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4E8" w14:textId="6927CAAB" w:rsidR="00D81FA2" w:rsidRDefault="00D8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356" w14:textId="77777777" w:rsidR="00D81FA2" w:rsidRDefault="00D8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7C91"/>
    <w:multiLevelType w:val="hybridMultilevel"/>
    <w:tmpl w:val="FFCC7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907D90"/>
    <w:multiLevelType w:val="hybridMultilevel"/>
    <w:tmpl w:val="E6B66A58"/>
    <w:lvl w:ilvl="0" w:tplc="01509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07578">
    <w:abstractNumId w:val="1"/>
  </w:num>
  <w:num w:numId="2" w16cid:durableId="152177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1"/>
    <w:rsid w:val="0002337E"/>
    <w:rsid w:val="000667C2"/>
    <w:rsid w:val="000872FF"/>
    <w:rsid w:val="00091D09"/>
    <w:rsid w:val="001104D9"/>
    <w:rsid w:val="00145800"/>
    <w:rsid w:val="00155D8C"/>
    <w:rsid w:val="00205424"/>
    <w:rsid w:val="002211A7"/>
    <w:rsid w:val="0030270A"/>
    <w:rsid w:val="00305CA8"/>
    <w:rsid w:val="00322903"/>
    <w:rsid w:val="00387291"/>
    <w:rsid w:val="003A5F50"/>
    <w:rsid w:val="004C2DB1"/>
    <w:rsid w:val="00562C73"/>
    <w:rsid w:val="00635CFD"/>
    <w:rsid w:val="00680FBD"/>
    <w:rsid w:val="00691A51"/>
    <w:rsid w:val="006A60E1"/>
    <w:rsid w:val="007503DB"/>
    <w:rsid w:val="00766F08"/>
    <w:rsid w:val="00850309"/>
    <w:rsid w:val="008844D7"/>
    <w:rsid w:val="0088615C"/>
    <w:rsid w:val="008B0C73"/>
    <w:rsid w:val="008B1310"/>
    <w:rsid w:val="008F0442"/>
    <w:rsid w:val="00915085"/>
    <w:rsid w:val="009358FC"/>
    <w:rsid w:val="00940E4B"/>
    <w:rsid w:val="0097071E"/>
    <w:rsid w:val="00992F6C"/>
    <w:rsid w:val="009F17E1"/>
    <w:rsid w:val="00A40FCA"/>
    <w:rsid w:val="00A41303"/>
    <w:rsid w:val="00A445FD"/>
    <w:rsid w:val="00A63EE7"/>
    <w:rsid w:val="00AD0413"/>
    <w:rsid w:val="00BC5D7E"/>
    <w:rsid w:val="00BF745E"/>
    <w:rsid w:val="00C33FCF"/>
    <w:rsid w:val="00C53C17"/>
    <w:rsid w:val="00D2747F"/>
    <w:rsid w:val="00D81FA2"/>
    <w:rsid w:val="00DD57FE"/>
    <w:rsid w:val="00E917D1"/>
    <w:rsid w:val="00E92E42"/>
    <w:rsid w:val="00F3381A"/>
    <w:rsid w:val="00F365C1"/>
    <w:rsid w:val="00F5348D"/>
    <w:rsid w:val="00F56ADC"/>
    <w:rsid w:val="00F60786"/>
    <w:rsid w:val="00FB31FB"/>
    <w:rsid w:val="00FC3AB3"/>
    <w:rsid w:val="00FD0F20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5D49A6"/>
  <w15:chartTrackingRefBased/>
  <w15:docId w15:val="{E15C14D8-1823-436E-8702-AA2CFCC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1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E1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E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SIDGWICK, Karen (TEES, ESK AND WEAR VALLEYS NHS FOUNDATION TRUST)</dc:creator>
  <cp:keywords/>
  <dc:description/>
  <cp:lastModifiedBy>COLE, Lisa (TEES, ESK AND WEAR VALLEYS NHS FOUNDATION TRUST)</cp:lastModifiedBy>
  <cp:revision>9</cp:revision>
  <dcterms:created xsi:type="dcterms:W3CDTF">2023-05-22T15:42:00Z</dcterms:created>
  <dcterms:modified xsi:type="dcterms:W3CDTF">2023-07-12T16:00:00Z</dcterms:modified>
</cp:coreProperties>
</file>